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DC6A72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DC6A72">
              <w:t>328619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DC6A72" w:rsidP="001055B6">
            <w:pPr>
              <w:spacing w:before="105" w:after="105"/>
              <w:ind w:left="223"/>
            </w:pPr>
            <w:r>
              <w:t>29.01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116DAB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DC6A72">
              <w:t>315</w:t>
            </w:r>
            <w:r w:rsidR="00C14C66">
              <w:t xml:space="preserve"> </w:t>
            </w:r>
            <w:r w:rsidRPr="00740117">
              <w:t xml:space="preserve">na polohe č. </w:t>
            </w:r>
            <w:r w:rsidR="00DC6A72">
              <w:t>205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116DAB">
              <w:t>Jarovce</w:t>
            </w:r>
            <w:r w:rsidRPr="00740117">
              <w:t>, SKCHVÚ Dunajské Luhy.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18</cp:revision>
  <dcterms:created xsi:type="dcterms:W3CDTF">2023-05-11T12:46:00Z</dcterms:created>
  <dcterms:modified xsi:type="dcterms:W3CDTF">2024-02-01T07:45:00Z</dcterms:modified>
</cp:coreProperties>
</file>