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EE" w:rsidRPr="00BD41F7" w:rsidRDefault="00BD41F7" w:rsidP="00BD41F7">
      <w:pPr>
        <w:pStyle w:val="Odsekzoznamu"/>
        <w:tabs>
          <w:tab w:val="left" w:pos="1134"/>
        </w:tabs>
        <w:spacing w:after="240"/>
        <w:ind w:left="360" w:hanging="360"/>
        <w:jc w:val="both"/>
        <w:rPr>
          <w:b/>
          <w:caps/>
          <w:szCs w:val="22"/>
          <w:lang w:val="en-GB"/>
        </w:rPr>
      </w:pPr>
      <w:r w:rsidRPr="00BD41F7">
        <w:rPr>
          <w:b/>
          <w:szCs w:val="22"/>
          <w:lang w:val="en-GB"/>
        </w:rPr>
        <w:t>12</w:t>
      </w:r>
      <w:r w:rsidRPr="00BD41F7">
        <w:rPr>
          <w:b/>
          <w:szCs w:val="22"/>
          <w:lang w:val="en-GB"/>
        </w:rPr>
        <w:tab/>
      </w:r>
      <w:r w:rsidR="001066EE" w:rsidRPr="00BD41F7">
        <w:rPr>
          <w:b/>
          <w:szCs w:val="22"/>
          <w:lang w:val="en-GB"/>
        </w:rPr>
        <w:t>Documents to be submitted for accepting the application for</w:t>
      </w:r>
      <w:r w:rsidR="002137DB">
        <w:rPr>
          <w:b/>
          <w:szCs w:val="22"/>
          <w:lang w:val="en-GB"/>
        </w:rPr>
        <w:t xml:space="preserve"> granting</w:t>
      </w:r>
      <w:r w:rsidR="001066EE" w:rsidRPr="00BD41F7">
        <w:rPr>
          <w:b/>
          <w:szCs w:val="22"/>
          <w:lang w:val="en-GB"/>
        </w:rPr>
        <w:t xml:space="preserve"> the temporary residence for the purpose of performing the </w:t>
      </w:r>
      <w:r w:rsidR="00DA4552">
        <w:rPr>
          <w:b/>
          <w:szCs w:val="22"/>
          <w:lang w:val="en-GB"/>
        </w:rPr>
        <w:t>serving obligations</w:t>
      </w:r>
      <w:r w:rsidR="001066EE" w:rsidRPr="00BD41F7">
        <w:rPr>
          <w:b/>
          <w:szCs w:val="22"/>
          <w:lang w:val="en-GB"/>
        </w:rPr>
        <w:t xml:space="preserve"> by civil units of armed forces pursuant to Art. 28 of Act on residence of </w:t>
      </w:r>
      <w:r w:rsidR="00B30C52">
        <w:rPr>
          <w:b/>
          <w:szCs w:val="22"/>
          <w:lang w:val="en-GB"/>
        </w:rPr>
        <w:t>Foreigners</w:t>
      </w:r>
    </w:p>
    <w:p w:rsidR="00DA4552" w:rsidRPr="00D5392E" w:rsidRDefault="00DA4552" w:rsidP="00DA4552">
      <w:pPr>
        <w:pStyle w:val="Odsekzoznamu"/>
        <w:numPr>
          <w:ilvl w:val="0"/>
          <w:numId w:val="4"/>
        </w:numPr>
        <w:shd w:val="clear" w:color="auto" w:fill="FFFFFF"/>
        <w:spacing w:after="120"/>
        <w:jc w:val="both"/>
        <w:rPr>
          <w:color w:val="333333"/>
          <w:lang w:val="en-GB"/>
        </w:rPr>
      </w:pPr>
      <w:r w:rsidRPr="00D5392E">
        <w:rPr>
          <w:color w:val="333333"/>
          <w:lang w:val="en-GB"/>
        </w:rPr>
        <w:t xml:space="preserve">2 colour photograph of size 3 x 3.5 cm showing his/her current appearance </w:t>
      </w:r>
    </w:p>
    <w:p w:rsidR="001066EE" w:rsidRPr="001066EE" w:rsidRDefault="005B36B7" w:rsidP="001066EE">
      <w:pPr>
        <w:pStyle w:val="Odsekzoznamu"/>
        <w:numPr>
          <w:ilvl w:val="0"/>
          <w:numId w:val="4"/>
        </w:numPr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valid travel document (Art. 2 par. </w:t>
      </w:r>
      <w:r w:rsidR="001066EE" w:rsidRPr="001066EE">
        <w:rPr>
          <w:szCs w:val="22"/>
          <w:lang w:val="en-GB"/>
        </w:rPr>
        <w:t>1</w:t>
      </w:r>
      <w:r>
        <w:rPr>
          <w:szCs w:val="22"/>
          <w:lang w:val="en-GB"/>
        </w:rPr>
        <w:t xml:space="preserve"> </w:t>
      </w:r>
      <w:r w:rsidR="001066EE" w:rsidRPr="001066EE">
        <w:rPr>
          <w:szCs w:val="22"/>
          <w:lang w:val="en-GB"/>
        </w:rPr>
        <w:t>(k) or Art. 125</w:t>
      </w:r>
      <w:r>
        <w:rPr>
          <w:szCs w:val="22"/>
          <w:lang w:val="en-GB"/>
        </w:rPr>
        <w:t xml:space="preserve"> par. </w:t>
      </w:r>
      <w:r w:rsidR="001066EE" w:rsidRPr="001066EE">
        <w:rPr>
          <w:szCs w:val="22"/>
          <w:lang w:val="en-GB"/>
        </w:rPr>
        <w:t xml:space="preserve">3 of Act on residence of </w:t>
      </w:r>
      <w:r w:rsidR="00B30C52">
        <w:rPr>
          <w:szCs w:val="22"/>
          <w:lang w:val="en-GB"/>
        </w:rPr>
        <w:t>Foreigners</w:t>
      </w:r>
    </w:p>
    <w:p w:rsidR="001066EE" w:rsidRPr="001066EE" w:rsidRDefault="001066EE" w:rsidP="001066EE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1066EE">
        <w:rPr>
          <w:b/>
          <w:szCs w:val="22"/>
          <w:lang w:val="en-GB"/>
        </w:rPr>
        <w:t xml:space="preserve">Document </w:t>
      </w:r>
      <w:r w:rsidR="002137DB">
        <w:rPr>
          <w:b/>
          <w:szCs w:val="22"/>
          <w:lang w:val="en-GB"/>
        </w:rPr>
        <w:t>confirming</w:t>
      </w:r>
      <w:r w:rsidR="002137DB" w:rsidRPr="001066EE">
        <w:rPr>
          <w:b/>
          <w:szCs w:val="22"/>
          <w:lang w:val="en-GB"/>
        </w:rPr>
        <w:t xml:space="preserve"> </w:t>
      </w:r>
      <w:r w:rsidR="002137DB">
        <w:rPr>
          <w:b/>
          <w:szCs w:val="22"/>
          <w:lang w:val="en-GB"/>
        </w:rPr>
        <w:t xml:space="preserve">purpose of residence </w:t>
      </w:r>
      <w:r w:rsidRPr="001066EE">
        <w:rPr>
          <w:b/>
          <w:szCs w:val="22"/>
          <w:lang w:val="en-GB"/>
        </w:rPr>
        <w:t xml:space="preserve">not older than 90 days </w:t>
      </w:r>
      <w:r w:rsidR="005B36B7">
        <w:rPr>
          <w:b/>
          <w:szCs w:val="22"/>
          <w:lang w:val="en-GB"/>
        </w:rPr>
        <w:t>(Art. 32 par. 2</w:t>
      </w:r>
      <w:r w:rsidR="00B30C52">
        <w:rPr>
          <w:b/>
          <w:szCs w:val="22"/>
          <w:lang w:val="en-GB"/>
        </w:rPr>
        <w:t xml:space="preserve"> </w:t>
      </w:r>
      <w:r w:rsidR="005B36B7">
        <w:rPr>
          <w:b/>
          <w:szCs w:val="22"/>
          <w:lang w:val="en-GB"/>
        </w:rPr>
        <w:t>(</w:t>
      </w:r>
      <w:r w:rsidRPr="001066EE">
        <w:rPr>
          <w:b/>
          <w:szCs w:val="22"/>
          <w:lang w:val="en-GB"/>
        </w:rPr>
        <w:t xml:space="preserve">a) of the Act on residence of </w:t>
      </w:r>
      <w:r w:rsidR="00B30C52">
        <w:rPr>
          <w:b/>
          <w:szCs w:val="22"/>
          <w:lang w:val="en-GB"/>
        </w:rPr>
        <w:t>Foreigners)</w:t>
      </w:r>
    </w:p>
    <w:p w:rsidR="001066EE" w:rsidRPr="001066EE" w:rsidRDefault="00B30C52" w:rsidP="001066EE">
      <w:pPr>
        <w:pStyle w:val="Odsekzoznamu"/>
        <w:numPr>
          <w:ilvl w:val="0"/>
          <w:numId w:val="4"/>
        </w:numPr>
        <w:spacing w:after="240"/>
        <w:rPr>
          <w:szCs w:val="22"/>
          <w:lang w:val="en-GB"/>
        </w:rPr>
      </w:pPr>
      <w:r w:rsidRPr="001066EE">
        <w:rPr>
          <w:szCs w:val="22"/>
          <w:lang w:val="en-GB"/>
        </w:rPr>
        <w:t>Individual</w:t>
      </w:r>
      <w:r w:rsidR="001066EE" w:rsidRPr="001066EE">
        <w:rPr>
          <w:szCs w:val="22"/>
          <w:lang w:val="en-GB"/>
        </w:rPr>
        <w:t xml:space="preserve"> or collective </w:t>
      </w:r>
      <w:r w:rsidR="00DA4552">
        <w:rPr>
          <w:szCs w:val="22"/>
          <w:lang w:val="en-GB"/>
        </w:rPr>
        <w:t>instruction</w:t>
      </w:r>
      <w:r w:rsidR="001066EE" w:rsidRPr="001066EE">
        <w:rPr>
          <w:szCs w:val="22"/>
          <w:lang w:val="en-GB"/>
        </w:rPr>
        <w:t xml:space="preserve"> </w:t>
      </w:r>
      <w:r w:rsidR="00DA4552">
        <w:rPr>
          <w:szCs w:val="22"/>
          <w:lang w:val="en-GB"/>
        </w:rPr>
        <w:t>for the transport</w:t>
      </w:r>
      <w:r w:rsidR="001066EE" w:rsidRPr="001066EE">
        <w:rPr>
          <w:szCs w:val="22"/>
          <w:lang w:val="en-GB"/>
        </w:rPr>
        <w:t xml:space="preserve"> </w:t>
      </w:r>
      <w:r w:rsidR="00DA4552">
        <w:rPr>
          <w:szCs w:val="22"/>
          <w:lang w:val="en-GB"/>
        </w:rPr>
        <w:t xml:space="preserve">of </w:t>
      </w:r>
      <w:r w:rsidR="001066EE" w:rsidRPr="001066EE">
        <w:rPr>
          <w:szCs w:val="22"/>
          <w:lang w:val="en-GB"/>
        </w:rPr>
        <w:t>armed forces (Art. 32</w:t>
      </w:r>
      <w:r w:rsidR="005B36B7">
        <w:rPr>
          <w:szCs w:val="22"/>
          <w:lang w:val="en-GB"/>
        </w:rPr>
        <w:t xml:space="preserve"> par. 5 </w:t>
      </w:r>
      <w:r w:rsidR="001066EE" w:rsidRPr="001066EE">
        <w:rPr>
          <w:szCs w:val="22"/>
          <w:lang w:val="en-GB"/>
        </w:rPr>
        <w:t xml:space="preserve">(p) of the Act on residence of </w:t>
      </w:r>
      <w:r>
        <w:rPr>
          <w:szCs w:val="22"/>
          <w:lang w:val="en-GB"/>
        </w:rPr>
        <w:t>Foreigners</w:t>
      </w:r>
      <w:r w:rsidR="001066EE" w:rsidRPr="001066EE">
        <w:rPr>
          <w:szCs w:val="22"/>
          <w:lang w:val="en-GB"/>
        </w:rPr>
        <w:t>).</w:t>
      </w:r>
    </w:p>
    <w:p w:rsidR="001066EE" w:rsidRPr="001066EE" w:rsidRDefault="001066EE" w:rsidP="001066EE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1066EE">
        <w:rPr>
          <w:b/>
          <w:szCs w:val="22"/>
          <w:lang w:val="en-GB"/>
        </w:rPr>
        <w:t xml:space="preserve">Document </w:t>
      </w:r>
      <w:r w:rsidR="002137DB">
        <w:rPr>
          <w:b/>
          <w:szCs w:val="22"/>
          <w:lang w:val="en-GB"/>
        </w:rPr>
        <w:t>confirming</w:t>
      </w:r>
      <w:r w:rsidR="002137DB" w:rsidRPr="001066EE">
        <w:rPr>
          <w:rFonts w:eastAsiaTheme="minorHAnsi"/>
          <w:b/>
          <w:color w:val="000000"/>
          <w:szCs w:val="22"/>
          <w:lang w:val="en-GB" w:eastAsia="en-US"/>
        </w:rPr>
        <w:t xml:space="preserve"> accommodation</w:t>
      </w:r>
      <w:r w:rsidR="002137DB" w:rsidRPr="001066EE">
        <w:rPr>
          <w:b/>
          <w:szCs w:val="22"/>
          <w:lang w:val="en-GB"/>
        </w:rPr>
        <w:t xml:space="preserve"> </w:t>
      </w:r>
      <w:r w:rsidR="005B36B7">
        <w:rPr>
          <w:b/>
          <w:szCs w:val="22"/>
          <w:lang w:val="en-GB"/>
        </w:rPr>
        <w:t xml:space="preserve">not older than 90 days (Art. 32 par. </w:t>
      </w:r>
      <w:r w:rsidRPr="001066EE">
        <w:rPr>
          <w:b/>
          <w:szCs w:val="22"/>
          <w:lang w:val="en-GB"/>
        </w:rPr>
        <w:t>2</w:t>
      </w:r>
      <w:r w:rsidR="005B36B7">
        <w:rPr>
          <w:b/>
          <w:szCs w:val="22"/>
          <w:lang w:val="en-GB"/>
        </w:rPr>
        <w:t xml:space="preserve"> </w:t>
      </w:r>
      <w:r w:rsidRPr="001066EE">
        <w:rPr>
          <w:b/>
          <w:szCs w:val="22"/>
          <w:lang w:val="en-GB"/>
        </w:rPr>
        <w:t xml:space="preserve">(e) of the Act on residence of </w:t>
      </w:r>
      <w:r w:rsidR="00B30C52">
        <w:rPr>
          <w:b/>
          <w:szCs w:val="22"/>
          <w:lang w:val="en-GB"/>
        </w:rPr>
        <w:t>Foreigners</w:t>
      </w:r>
      <w:r w:rsidRPr="001066EE">
        <w:rPr>
          <w:b/>
          <w:szCs w:val="22"/>
          <w:lang w:val="en-GB"/>
        </w:rPr>
        <w:t>)</w:t>
      </w:r>
    </w:p>
    <w:p w:rsidR="001B777C" w:rsidRPr="001B777C" w:rsidRDefault="001B777C" w:rsidP="001B777C">
      <w:pPr>
        <w:pStyle w:val="Odsekzoznamu"/>
        <w:numPr>
          <w:ilvl w:val="0"/>
          <w:numId w:val="4"/>
        </w:numPr>
        <w:spacing w:after="240"/>
        <w:jc w:val="both"/>
        <w:rPr>
          <w:rFonts w:eastAsiaTheme="minorHAnsi"/>
          <w:color w:val="000000"/>
          <w:szCs w:val="22"/>
          <w:lang w:val="en-GB" w:eastAsia="en-US"/>
        </w:rPr>
      </w:pPr>
      <w:bookmarkStart w:id="0" w:name="_GoBack"/>
      <w:r w:rsidRPr="001B777C">
        <w:rPr>
          <w:rFonts w:eastAsiaTheme="minorHAnsi"/>
          <w:color w:val="000000"/>
          <w:szCs w:val="22"/>
          <w:lang w:val="en-GB" w:eastAsia="en-US"/>
        </w:rPr>
        <w:t>a statutory declaration of the foreigner on ownership of the real estate,</w:t>
      </w:r>
    </w:p>
    <w:bookmarkEnd w:id="0"/>
    <w:p w:rsidR="001B777C" w:rsidRPr="001B777C" w:rsidRDefault="001B777C" w:rsidP="001B777C">
      <w:pPr>
        <w:pStyle w:val="Odsekzoznamu"/>
        <w:numPr>
          <w:ilvl w:val="0"/>
          <w:numId w:val="4"/>
        </w:numPr>
        <w:spacing w:after="240"/>
        <w:jc w:val="both"/>
        <w:rPr>
          <w:rFonts w:eastAsiaTheme="minorHAnsi"/>
          <w:color w:val="000000"/>
          <w:szCs w:val="22"/>
          <w:lang w:val="en-GB" w:eastAsia="en-US"/>
        </w:rPr>
      </w:pPr>
      <w:r w:rsidRPr="001B777C">
        <w:rPr>
          <w:rFonts w:eastAsiaTheme="minorHAnsi"/>
          <w:color w:val="000000"/>
          <w:szCs w:val="22"/>
          <w:lang w:val="en-GB" w:eastAsia="en-US"/>
        </w:rPr>
        <w:t>a lease contract concluded with a real estate owner or user and a document proving the entitlement to use the real restate in the case of lease contract with a real estate user,</w:t>
      </w:r>
    </w:p>
    <w:p w:rsidR="001B777C" w:rsidRPr="001B777C" w:rsidRDefault="001B777C" w:rsidP="001B777C">
      <w:pPr>
        <w:pStyle w:val="Odsekzoznamu"/>
        <w:numPr>
          <w:ilvl w:val="0"/>
          <w:numId w:val="4"/>
        </w:numPr>
        <w:spacing w:after="240"/>
        <w:jc w:val="both"/>
        <w:rPr>
          <w:rFonts w:eastAsiaTheme="minorHAnsi"/>
          <w:color w:val="000000"/>
          <w:szCs w:val="22"/>
          <w:lang w:val="en-GB" w:eastAsia="en-US"/>
        </w:rPr>
      </w:pPr>
      <w:r w:rsidRPr="001B777C">
        <w:rPr>
          <w:rFonts w:eastAsiaTheme="minorHAnsi"/>
          <w:color w:val="000000"/>
          <w:szCs w:val="22"/>
          <w:lang w:val="en-GB" w:eastAsia="en-US"/>
        </w:rPr>
        <w:t>a confirmation of the accommodation facility on provision of accommodation (e.g. confirmation of hotel or a boarding house) or</w:t>
      </w:r>
    </w:p>
    <w:p w:rsidR="001B777C" w:rsidRPr="001B777C" w:rsidRDefault="001B777C" w:rsidP="001B777C">
      <w:pPr>
        <w:pStyle w:val="Odsekzoznamu"/>
        <w:numPr>
          <w:ilvl w:val="0"/>
          <w:numId w:val="4"/>
        </w:numPr>
        <w:spacing w:after="240"/>
        <w:jc w:val="both"/>
        <w:rPr>
          <w:rFonts w:eastAsiaTheme="minorHAnsi"/>
          <w:color w:val="000000"/>
          <w:szCs w:val="22"/>
          <w:lang w:val="en-GB" w:eastAsia="en-US"/>
        </w:rPr>
      </w:pPr>
      <w:r w:rsidRPr="001B777C">
        <w:rPr>
          <w:rFonts w:eastAsiaTheme="minorHAnsi"/>
          <w:color w:val="000000"/>
          <w:szCs w:val="22"/>
          <w:lang w:val="en-GB" w:eastAsia="en-US"/>
        </w:rPr>
        <w:t>a statutory</w:t>
      </w:r>
      <w:r w:rsidRPr="001B777C">
        <w:rPr>
          <w:rFonts w:eastAsiaTheme="minorHAnsi"/>
          <w:color w:val="000000"/>
          <w:szCs w:val="22"/>
          <w:lang w:val="en-GB" w:eastAsia="en-US"/>
        </w:rPr>
        <w:t xml:space="preserve"> declaration of the natural person or legal entity on provision of accommodation to the foreigner in the territory of the Slovak Republic and a document proving the entitlement to use the real restate in the case of statutory declaration of a real estate user.</w:t>
      </w:r>
    </w:p>
    <w:p w:rsidR="001066EE" w:rsidRPr="00B30C52" w:rsidRDefault="001066EE" w:rsidP="001066EE">
      <w:pPr>
        <w:pStyle w:val="Odsekzoznamu"/>
        <w:numPr>
          <w:ilvl w:val="0"/>
          <w:numId w:val="4"/>
        </w:numPr>
        <w:spacing w:after="240"/>
        <w:jc w:val="both"/>
        <w:rPr>
          <w:szCs w:val="22"/>
          <w:lang w:val="en-GB"/>
        </w:rPr>
      </w:pPr>
      <w:r w:rsidRPr="001066EE">
        <w:rPr>
          <w:szCs w:val="22"/>
          <w:lang w:val="en-GB"/>
        </w:rPr>
        <w:t>.</w:t>
      </w:r>
      <w:r w:rsidRPr="001066EE">
        <w:rPr>
          <w:rFonts w:eastAsiaTheme="minorHAnsi"/>
          <w:color w:val="000000"/>
          <w:szCs w:val="22"/>
          <w:lang w:val="en-GB" w:eastAsia="en-US"/>
        </w:rPr>
        <w:t xml:space="preserve"> </w:t>
      </w:r>
    </w:p>
    <w:p w:rsidR="00B30C52" w:rsidRPr="00987CF6" w:rsidRDefault="00B30C52" w:rsidP="00B30C52">
      <w:pPr>
        <w:pStyle w:val="Odsekzoznamu"/>
        <w:pBdr>
          <w:bottom w:val="single" w:sz="4" w:space="1" w:color="auto"/>
        </w:pBdr>
        <w:spacing w:line="360" w:lineRule="auto"/>
        <w:ind w:left="0"/>
      </w:pPr>
    </w:p>
    <w:p w:rsidR="00B30C52" w:rsidRPr="00B30C52" w:rsidRDefault="00B30C52" w:rsidP="00B30C52">
      <w:pPr>
        <w:spacing w:after="120"/>
        <w:contextualSpacing/>
        <w:jc w:val="both"/>
        <w:rPr>
          <w:lang w:val="en-GB"/>
        </w:rPr>
      </w:pPr>
    </w:p>
    <w:p w:rsidR="00B30C52" w:rsidRDefault="00B30C52" w:rsidP="00B30C52">
      <w:pPr>
        <w:pStyle w:val="Odsekzoznamu"/>
        <w:numPr>
          <w:ilvl w:val="0"/>
          <w:numId w:val="7"/>
        </w:numPr>
        <w:spacing w:after="120"/>
        <w:contextualSpacing/>
        <w:jc w:val="both"/>
        <w:rPr>
          <w:lang w:val="en-GB"/>
        </w:rPr>
      </w:pPr>
      <w:r w:rsidRPr="00B30C52">
        <w:rPr>
          <w:lang w:val="en-GB"/>
        </w:rPr>
        <w:t xml:space="preserve">The application for </w:t>
      </w:r>
      <w:r w:rsidR="00DA4552" w:rsidRPr="00D5392E">
        <w:rPr>
          <w:lang w:val="en-GB"/>
        </w:rPr>
        <w:t xml:space="preserve">granting </w:t>
      </w:r>
      <w:r w:rsidRPr="00B30C52">
        <w:rPr>
          <w:lang w:val="en-GB"/>
        </w:rPr>
        <w:t>temporary residence for the purposes</w:t>
      </w:r>
      <w:r w:rsidR="00DA4552" w:rsidRPr="00DA4552">
        <w:rPr>
          <w:b/>
          <w:szCs w:val="22"/>
          <w:lang w:val="en-GB"/>
        </w:rPr>
        <w:t xml:space="preserve"> </w:t>
      </w:r>
      <w:r w:rsidR="00DA4552" w:rsidRPr="00BD41F7">
        <w:rPr>
          <w:b/>
          <w:szCs w:val="22"/>
          <w:lang w:val="en-GB"/>
        </w:rPr>
        <w:t xml:space="preserve">of performing the </w:t>
      </w:r>
      <w:r w:rsidR="00DA4552">
        <w:rPr>
          <w:b/>
          <w:szCs w:val="22"/>
          <w:lang w:val="en-GB"/>
        </w:rPr>
        <w:t>serving obligations</w:t>
      </w:r>
      <w:r w:rsidR="00DA4552" w:rsidRPr="00BD41F7">
        <w:rPr>
          <w:b/>
          <w:szCs w:val="22"/>
          <w:lang w:val="en-GB"/>
        </w:rPr>
        <w:t xml:space="preserve"> by civil units of armed</w:t>
      </w:r>
      <w:r w:rsidRPr="00B30C52">
        <w:rPr>
          <w:lang w:val="en-GB"/>
        </w:rPr>
        <w:t xml:space="preserve"> </w:t>
      </w:r>
      <w:r w:rsidR="00DA4552">
        <w:rPr>
          <w:lang w:val="en-GB"/>
        </w:rPr>
        <w:t>shall</w:t>
      </w:r>
      <w:r w:rsidRPr="00B30C52">
        <w:rPr>
          <w:lang w:val="en-GB"/>
        </w:rPr>
        <w:t xml:space="preserve"> be submit by the third country national </w:t>
      </w:r>
      <w:r w:rsidR="00DA4552">
        <w:rPr>
          <w:lang w:val="en-GB"/>
        </w:rPr>
        <w:t>in person</w:t>
      </w:r>
      <w:r w:rsidRPr="00B30C52">
        <w:rPr>
          <w:lang w:val="en-GB"/>
        </w:rPr>
        <w:t xml:space="preserve"> </w:t>
      </w:r>
      <w:r w:rsidR="00DA4552">
        <w:rPr>
          <w:lang w:val="en-GB"/>
        </w:rPr>
        <w:t>at consulate</w:t>
      </w:r>
      <w:r w:rsidRPr="00B30C52">
        <w:rPr>
          <w:lang w:val="en-GB"/>
        </w:rPr>
        <w:t xml:space="preserve"> abroad or </w:t>
      </w:r>
      <w:r w:rsidR="00DA4552">
        <w:rPr>
          <w:lang w:val="en-GB"/>
        </w:rPr>
        <w:t>at</w:t>
      </w:r>
      <w:r w:rsidRPr="00B30C52">
        <w:rPr>
          <w:lang w:val="en-GB"/>
        </w:rPr>
        <w:t xml:space="preserve"> the Foreign Police Department of the Police Force, if he/she resides in the Slovak Republic legally based on a valid residence permit granted under special Act, a grante</w:t>
      </w:r>
      <w:r w:rsidR="005B36B7">
        <w:rPr>
          <w:lang w:val="en-GB"/>
        </w:rPr>
        <w:t>d tolerated residence (Art. 58 par. 1 (</w:t>
      </w:r>
      <w:r w:rsidRPr="00B30C52">
        <w:rPr>
          <w:lang w:val="en-GB"/>
        </w:rPr>
        <w:t>a) –</w:t>
      </w:r>
      <w:r w:rsidR="005B36B7">
        <w:rPr>
          <w:lang w:val="en-GB"/>
        </w:rPr>
        <w:t xml:space="preserve"> (c) or par. </w:t>
      </w:r>
      <w:r w:rsidRPr="00B30C52">
        <w:rPr>
          <w:lang w:val="en-GB"/>
        </w:rPr>
        <w:t>2), a granted national visa (Art. 15) and if the visa is not required from the third country national.</w:t>
      </w:r>
    </w:p>
    <w:p w:rsidR="00B30C52" w:rsidRDefault="00B30C52" w:rsidP="00B30C52">
      <w:pPr>
        <w:pStyle w:val="Odsekzoznamu"/>
        <w:spacing w:after="120"/>
        <w:ind w:left="720"/>
        <w:contextualSpacing/>
        <w:jc w:val="both"/>
        <w:rPr>
          <w:lang w:val="en-GB"/>
        </w:rPr>
      </w:pPr>
    </w:p>
    <w:p w:rsidR="00B30C52" w:rsidRDefault="00B30C52" w:rsidP="00B30C52">
      <w:pPr>
        <w:pStyle w:val="Odsekzoznamu"/>
        <w:numPr>
          <w:ilvl w:val="0"/>
          <w:numId w:val="7"/>
        </w:numPr>
        <w:spacing w:after="120"/>
        <w:contextualSpacing/>
        <w:jc w:val="both"/>
        <w:rPr>
          <w:lang w:val="en-GB"/>
        </w:rPr>
      </w:pPr>
      <w:r>
        <w:rPr>
          <w:lang w:val="en-GB"/>
        </w:rPr>
        <w:t xml:space="preserve">Temporary residence for the purpose </w:t>
      </w:r>
      <w:r w:rsidR="00DA4552" w:rsidRPr="00BD41F7">
        <w:rPr>
          <w:b/>
          <w:szCs w:val="22"/>
          <w:lang w:val="en-GB"/>
        </w:rPr>
        <w:t xml:space="preserve">of performing the </w:t>
      </w:r>
      <w:r w:rsidR="00DA4552">
        <w:rPr>
          <w:b/>
          <w:szCs w:val="22"/>
          <w:lang w:val="en-GB"/>
        </w:rPr>
        <w:t>serving obligations</w:t>
      </w:r>
      <w:r w:rsidR="00DA4552" w:rsidRPr="00BD41F7">
        <w:rPr>
          <w:b/>
          <w:szCs w:val="22"/>
          <w:lang w:val="en-GB"/>
        </w:rPr>
        <w:t xml:space="preserve"> by civil units of armed</w:t>
      </w:r>
      <w:r w:rsidR="00DA4552">
        <w:rPr>
          <w:szCs w:val="22"/>
          <w:lang w:val="en-GB"/>
        </w:rPr>
        <w:t xml:space="preserve"> is granted</w:t>
      </w:r>
      <w:r w:rsidRPr="00B30C52">
        <w:rPr>
          <w:lang w:val="en-GB"/>
        </w:rPr>
        <w:t xml:space="preserve"> for a maximu</w:t>
      </w:r>
      <w:r>
        <w:rPr>
          <w:lang w:val="en-GB"/>
        </w:rPr>
        <w:t>m of 5</w:t>
      </w:r>
      <w:r w:rsidRPr="00AB786B">
        <w:rPr>
          <w:b/>
          <w:lang w:val="en-GB"/>
        </w:rPr>
        <w:t xml:space="preserve"> years</w:t>
      </w:r>
      <w:r>
        <w:rPr>
          <w:lang w:val="en-GB"/>
        </w:rPr>
        <w:t>.</w:t>
      </w:r>
    </w:p>
    <w:p w:rsidR="00B30C52" w:rsidRPr="00AB786B" w:rsidRDefault="00B30C52" w:rsidP="00B30C52">
      <w:pPr>
        <w:pStyle w:val="Odsekzoznamu"/>
        <w:rPr>
          <w:lang w:val="en-GB"/>
        </w:rPr>
      </w:pPr>
    </w:p>
    <w:p w:rsidR="00B30C52" w:rsidRPr="00DA4552" w:rsidRDefault="00B30C52" w:rsidP="00B30C52">
      <w:pPr>
        <w:pStyle w:val="Odsekzoznamu"/>
        <w:numPr>
          <w:ilvl w:val="0"/>
          <w:numId w:val="7"/>
        </w:numPr>
        <w:spacing w:after="120"/>
        <w:contextualSpacing/>
        <w:jc w:val="both"/>
        <w:rPr>
          <w:lang w:val="en-GB"/>
        </w:rPr>
      </w:pPr>
      <w:r>
        <w:rPr>
          <w:lang w:val="en-GB"/>
        </w:rPr>
        <w:t xml:space="preserve">The Foreign Police Department </w:t>
      </w:r>
      <w:r w:rsidRPr="00AB786B">
        <w:rPr>
          <w:lang w:val="en-US"/>
        </w:rPr>
        <w:t xml:space="preserve">shall decide on the application for </w:t>
      </w:r>
      <w:r w:rsidR="00F15DAE">
        <w:rPr>
          <w:lang w:val="en-US"/>
        </w:rPr>
        <w:t xml:space="preserve">granting </w:t>
      </w:r>
      <w:r w:rsidRPr="00AB786B">
        <w:rPr>
          <w:lang w:val="en-US"/>
        </w:rPr>
        <w:t xml:space="preserve">temporary residence </w:t>
      </w:r>
      <w:r>
        <w:rPr>
          <w:lang w:val="en-GB"/>
        </w:rPr>
        <w:t xml:space="preserve">the purpose </w:t>
      </w:r>
      <w:r w:rsidR="00DA4552" w:rsidRPr="00DA4552">
        <w:rPr>
          <w:szCs w:val="22"/>
          <w:lang w:val="en-GB"/>
        </w:rPr>
        <w:t>of performing the serving obligations by civil units of armed</w:t>
      </w:r>
      <w:r w:rsidR="00DA4552" w:rsidRPr="00DA4552">
        <w:rPr>
          <w:lang w:val="en-US"/>
        </w:rPr>
        <w:t xml:space="preserve"> </w:t>
      </w:r>
      <w:r w:rsidRPr="00DA4552">
        <w:rPr>
          <w:b/>
          <w:lang w:val="en-US"/>
        </w:rPr>
        <w:t>90 days</w:t>
      </w:r>
      <w:r w:rsidRPr="00DA4552">
        <w:rPr>
          <w:lang w:val="en-US"/>
        </w:rPr>
        <w:t xml:space="preserve"> following the date of receipt of complete application.</w:t>
      </w:r>
    </w:p>
    <w:p w:rsidR="00B30C52" w:rsidRPr="000C3BE5" w:rsidRDefault="00B30C52" w:rsidP="00B30C52">
      <w:pPr>
        <w:pStyle w:val="Odsekzoznamu"/>
        <w:rPr>
          <w:lang w:val="en-GB"/>
        </w:rPr>
      </w:pPr>
    </w:p>
    <w:p w:rsidR="00E21B3F" w:rsidRDefault="00E21B3F" w:rsidP="00E21B3F">
      <w:pPr>
        <w:pStyle w:val="Odsekzoznamu"/>
        <w:numPr>
          <w:ilvl w:val="0"/>
          <w:numId w:val="6"/>
        </w:numPr>
        <w:spacing w:after="120"/>
        <w:contextualSpacing/>
        <w:jc w:val="both"/>
        <w:rPr>
          <w:lang w:val="en-GB"/>
        </w:rPr>
      </w:pPr>
      <w:r>
        <w:rPr>
          <w:lang w:val="en-GB"/>
        </w:rPr>
        <w:lastRenderedPageBreak/>
        <w:t xml:space="preserve">The administrative fee for submitting the application for temporary residence for the purpose </w:t>
      </w:r>
      <w:r w:rsidR="00DA4552" w:rsidRPr="00DA4552">
        <w:rPr>
          <w:szCs w:val="22"/>
          <w:lang w:val="en-GB"/>
        </w:rPr>
        <w:t xml:space="preserve">of performing the serving obligations by civil units </w:t>
      </w:r>
      <w:r>
        <w:rPr>
          <w:lang w:val="en-GB"/>
        </w:rPr>
        <w:t xml:space="preserve">is </w:t>
      </w:r>
      <w:r w:rsidRPr="00DA4552">
        <w:rPr>
          <w:b/>
          <w:lang w:val="en-GB"/>
        </w:rPr>
        <w:t>66 EUR</w:t>
      </w:r>
      <w:r w:rsidR="00DA4552">
        <w:rPr>
          <w:lang w:val="en-GB"/>
        </w:rPr>
        <w:t xml:space="preserve"> (Act No 145/1995 on A</w:t>
      </w:r>
      <w:r>
        <w:rPr>
          <w:lang w:val="en-GB"/>
        </w:rPr>
        <w:t xml:space="preserve">dministrative fees as amended). In case of granting the temporary residence to the third country national the amount of administrative fee for issuance of the document on residence is </w:t>
      </w:r>
      <w:r w:rsidRPr="00DA4552">
        <w:rPr>
          <w:b/>
          <w:lang w:val="en-GB"/>
        </w:rPr>
        <w:t>4,50 EUR</w:t>
      </w:r>
      <w:r>
        <w:rPr>
          <w:lang w:val="en-GB"/>
        </w:rPr>
        <w:t>.</w:t>
      </w:r>
    </w:p>
    <w:p w:rsidR="00371582" w:rsidRPr="00B30C52" w:rsidRDefault="00371582" w:rsidP="00E21B3F">
      <w:pPr>
        <w:pStyle w:val="Odsekzoznamu"/>
        <w:spacing w:after="240"/>
        <w:ind w:left="720"/>
        <w:contextualSpacing/>
        <w:jc w:val="both"/>
        <w:rPr>
          <w:sz w:val="28"/>
          <w:lang w:val="en-GB"/>
        </w:rPr>
      </w:pPr>
    </w:p>
    <w:sectPr w:rsidR="00371582" w:rsidRPr="00B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59" w:rsidRDefault="00D25D59" w:rsidP="00D25D59">
      <w:r>
        <w:separator/>
      </w:r>
    </w:p>
  </w:endnote>
  <w:endnote w:type="continuationSeparator" w:id="0">
    <w:p w:rsidR="00D25D59" w:rsidRDefault="00D25D59" w:rsidP="00D2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59" w:rsidRDefault="00D25D59" w:rsidP="00D25D59">
      <w:r>
        <w:separator/>
      </w:r>
    </w:p>
  </w:footnote>
  <w:footnote w:type="continuationSeparator" w:id="0">
    <w:p w:rsidR="00D25D59" w:rsidRDefault="00D25D59" w:rsidP="00D2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8E8"/>
    <w:multiLevelType w:val="hybridMultilevel"/>
    <w:tmpl w:val="483ED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378F"/>
    <w:multiLevelType w:val="hybridMultilevel"/>
    <w:tmpl w:val="17AEC672"/>
    <w:lvl w:ilvl="0" w:tplc="95B6E36E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CC1C73"/>
    <w:multiLevelType w:val="hybridMultilevel"/>
    <w:tmpl w:val="3F62073A"/>
    <w:lvl w:ilvl="0" w:tplc="C19CF980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5EF"/>
    <w:multiLevelType w:val="hybridMultilevel"/>
    <w:tmpl w:val="AB9AB918"/>
    <w:lvl w:ilvl="0" w:tplc="6916D0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D10AF"/>
    <w:multiLevelType w:val="hybridMultilevel"/>
    <w:tmpl w:val="8FA63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242F"/>
    <w:multiLevelType w:val="hybridMultilevel"/>
    <w:tmpl w:val="7E0C3406"/>
    <w:lvl w:ilvl="0" w:tplc="B84CD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1"/>
    <w:rsid w:val="000B2576"/>
    <w:rsid w:val="001066EE"/>
    <w:rsid w:val="001B777C"/>
    <w:rsid w:val="002137DB"/>
    <w:rsid w:val="00371582"/>
    <w:rsid w:val="003B1BFC"/>
    <w:rsid w:val="005B36B7"/>
    <w:rsid w:val="00B30C52"/>
    <w:rsid w:val="00BD41F7"/>
    <w:rsid w:val="00C10F51"/>
    <w:rsid w:val="00D25D59"/>
    <w:rsid w:val="00DA4552"/>
    <w:rsid w:val="00DC75F1"/>
    <w:rsid w:val="00E21B3F"/>
    <w:rsid w:val="00F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CB430-C866-45A6-B490-61B27A1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66EE"/>
    <w:pPr>
      <w:ind w:left="708"/>
    </w:pPr>
  </w:style>
  <w:style w:type="character" w:styleId="Siln">
    <w:name w:val="Strong"/>
    <w:basedOn w:val="Predvolenpsmoodseku"/>
    <w:uiPriority w:val="22"/>
    <w:qFormat/>
    <w:rsid w:val="00B30C52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25D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5D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5D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D5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Mária Borguľová</cp:lastModifiedBy>
  <cp:revision>11</cp:revision>
  <dcterms:created xsi:type="dcterms:W3CDTF">2014-03-03T12:25:00Z</dcterms:created>
  <dcterms:modified xsi:type="dcterms:W3CDTF">2020-08-11T06:25:00Z</dcterms:modified>
</cp:coreProperties>
</file>