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E" w:rsidRPr="00B24C6E" w:rsidRDefault="00B24C6E" w:rsidP="00B24C6E">
      <w:pPr>
        <w:spacing w:after="150" w:line="288" w:lineRule="auto"/>
        <w:outlineLvl w:val="0"/>
        <w:rPr>
          <w:rFonts w:ascii="Tahoma" w:eastAsia="Times New Roman" w:hAnsi="Tahoma" w:cs="Tahoma"/>
          <w:b/>
          <w:bCs/>
          <w:color w:val="000000"/>
          <w:kern w:val="36"/>
          <w:sz w:val="27"/>
          <w:szCs w:val="27"/>
          <w:lang w:eastAsia="sk-SK"/>
        </w:rPr>
      </w:pPr>
      <w:r w:rsidRPr="00B24C6E">
        <w:rPr>
          <w:rFonts w:ascii="Tahoma" w:eastAsia="Times New Roman" w:hAnsi="Tahoma" w:cs="Tahoma"/>
          <w:b/>
          <w:bCs/>
          <w:color w:val="000000"/>
          <w:kern w:val="36"/>
          <w:sz w:val="27"/>
          <w:szCs w:val="27"/>
          <w:lang w:eastAsia="sk-SK"/>
        </w:rPr>
        <w:t>OSVEDČENIE ODTLAČKU ÚRADNEJ PEČIATKY A ÚRADNÉHO PODPISU A</w:t>
      </w:r>
      <w:r w:rsidR="006429BE">
        <w:rPr>
          <w:rFonts w:ascii="Tahoma" w:eastAsia="Times New Roman" w:hAnsi="Tahoma" w:cs="Tahoma"/>
          <w:b/>
          <w:bCs/>
          <w:color w:val="000000"/>
          <w:kern w:val="36"/>
          <w:sz w:val="27"/>
          <w:szCs w:val="27"/>
          <w:lang w:eastAsia="sk-SK"/>
        </w:rPr>
        <w:t> </w:t>
      </w:r>
      <w:r w:rsidRPr="00B24C6E">
        <w:rPr>
          <w:rFonts w:ascii="Tahoma" w:eastAsia="Times New Roman" w:hAnsi="Tahoma" w:cs="Tahoma"/>
          <w:b/>
          <w:bCs/>
          <w:color w:val="000000"/>
          <w:kern w:val="36"/>
          <w:sz w:val="27"/>
          <w:szCs w:val="27"/>
          <w:lang w:eastAsia="sk-SK"/>
        </w:rPr>
        <w:t>APOSTILLE</w:t>
      </w:r>
      <w:r w:rsidR="006429BE">
        <w:rPr>
          <w:rFonts w:ascii="Tahoma" w:eastAsia="Times New Roman" w:hAnsi="Tahoma" w:cs="Tahoma"/>
          <w:b/>
          <w:bCs/>
          <w:color w:val="000000"/>
          <w:kern w:val="36"/>
          <w:sz w:val="27"/>
          <w:szCs w:val="27"/>
          <w:lang w:eastAsia="sk-SK"/>
        </w:rPr>
        <w:t xml:space="preserve"> /dokladov na použitie v cudzine/</w:t>
      </w:r>
    </w:p>
    <w:p w:rsidR="00B24C6E" w:rsidRPr="00B24C6E" w:rsidRDefault="00B24C6E" w:rsidP="00B24C6E">
      <w:pPr>
        <w:spacing w:before="100" w:beforeAutospacing="1" w:after="100" w:afterAutospacing="1" w:line="336" w:lineRule="auto"/>
        <w:rPr>
          <w:rFonts w:ascii="Tahoma" w:eastAsia="Times New Roman" w:hAnsi="Tahoma" w:cs="Tahoma"/>
          <w:color w:val="000000"/>
          <w:sz w:val="19"/>
          <w:szCs w:val="19"/>
          <w:lang w:eastAsia="sk-SK"/>
        </w:rPr>
      </w:pPr>
      <w:r w:rsidRPr="00B24C6E">
        <w:rPr>
          <w:rFonts w:ascii="Tahoma" w:eastAsia="Times New Roman" w:hAnsi="Tahoma" w:cs="Tahoma"/>
          <w:color w:val="000000"/>
          <w:sz w:val="19"/>
          <w:szCs w:val="19"/>
          <w:lang w:eastAsia="sk-SK"/>
        </w:rPr>
        <w:t>Verejné listiny vydané slovenskými orgánmi, vyžadujú na svoje použitie pred orgánmi cudzieho štátu osvedčenie, pokiaľ osobitný predpis, alebo medzinárodná zmluva neustanovujú inak. To znamená, že verejné listiny vydané na území SR majú dôkaznú moc verejných listín v zahraničí, ale aj naopak, ak sú opatrené predpísanými osvedčeniami. Výnimky ustanovujú mnohostranné alebo dvojstranné medzinárodné zmluvy.</w:t>
      </w:r>
    </w:p>
    <w:p w:rsidR="00B24C6E" w:rsidRPr="00B24C6E" w:rsidRDefault="00B24C6E" w:rsidP="00B24C6E">
      <w:pPr>
        <w:spacing w:before="100" w:beforeAutospacing="1" w:after="100" w:afterAutospacing="1" w:line="336" w:lineRule="auto"/>
        <w:rPr>
          <w:rFonts w:ascii="Tahoma" w:eastAsia="Times New Roman" w:hAnsi="Tahoma" w:cs="Tahoma"/>
          <w:color w:val="000000"/>
          <w:sz w:val="19"/>
          <w:szCs w:val="19"/>
          <w:lang w:eastAsia="sk-SK"/>
        </w:rPr>
      </w:pPr>
      <w:r w:rsidRPr="00B24C6E">
        <w:rPr>
          <w:rFonts w:ascii="Tahoma" w:eastAsia="Times New Roman" w:hAnsi="Tahoma" w:cs="Tahoma"/>
          <w:color w:val="000000"/>
          <w:sz w:val="19"/>
          <w:szCs w:val="19"/>
          <w:lang w:eastAsia="sk-SK"/>
        </w:rPr>
        <w:t>Pri osvedčovaní matričných dokladov SR pre použitie v cudzine a tiež akceptovaní matričných dokladov vydaných v cudzine pre použitie v SR je potrebné rozlišovať štáty ktoré:</w:t>
      </w:r>
    </w:p>
    <w:p w:rsidR="00B24C6E" w:rsidRPr="00B24C6E" w:rsidRDefault="00822C34" w:rsidP="00B24C6E">
      <w:pPr>
        <w:numPr>
          <w:ilvl w:val="0"/>
          <w:numId w:val="1"/>
        </w:numPr>
        <w:spacing w:before="100" w:beforeAutospacing="1" w:after="100" w:afterAutospacing="1" w:line="336" w:lineRule="auto"/>
        <w:rPr>
          <w:rFonts w:ascii="Tahoma" w:eastAsia="Times New Roman" w:hAnsi="Tahoma" w:cs="Tahoma"/>
          <w:color w:val="000000"/>
          <w:sz w:val="19"/>
          <w:szCs w:val="19"/>
          <w:lang w:eastAsia="sk-SK"/>
        </w:rPr>
      </w:pPr>
      <w:r>
        <w:rPr>
          <w:rFonts w:ascii="Tahoma" w:eastAsia="Times New Roman" w:hAnsi="Tahoma" w:cs="Tahoma"/>
          <w:b/>
          <w:bCs/>
          <w:color w:val="000000"/>
          <w:sz w:val="19"/>
          <w:szCs w:val="19"/>
          <w:lang w:eastAsia="sk-SK"/>
        </w:rPr>
        <w:t xml:space="preserve">1. </w:t>
      </w:r>
      <w:r w:rsidR="00B24C6E" w:rsidRPr="00B24C6E">
        <w:rPr>
          <w:rFonts w:ascii="Tahoma" w:eastAsia="Times New Roman" w:hAnsi="Tahoma" w:cs="Tahoma"/>
          <w:b/>
          <w:bCs/>
          <w:color w:val="000000"/>
          <w:sz w:val="19"/>
          <w:szCs w:val="19"/>
          <w:lang w:eastAsia="sk-SK"/>
        </w:rPr>
        <w:t>NEVYŽADUJÚ OSVEDČENIE verejných listín</w:t>
      </w:r>
      <w:r w:rsidR="00B24C6E" w:rsidRPr="00B24C6E">
        <w:rPr>
          <w:rFonts w:ascii="Tahoma" w:eastAsia="Times New Roman" w:hAnsi="Tahoma" w:cs="Tahoma"/>
          <w:color w:val="000000"/>
          <w:sz w:val="19"/>
          <w:szCs w:val="19"/>
          <w:lang w:eastAsia="sk-SK"/>
        </w:rPr>
        <w:t xml:space="preserve"> </w:t>
      </w:r>
      <w:r w:rsidR="00B24C6E" w:rsidRPr="00B24C6E">
        <w:rPr>
          <w:rFonts w:ascii="Tahoma" w:eastAsia="Times New Roman" w:hAnsi="Tahoma" w:cs="Tahoma"/>
          <w:color w:val="000000"/>
          <w:sz w:val="19"/>
          <w:szCs w:val="19"/>
          <w:lang w:eastAsia="sk-SK"/>
        </w:rPr>
        <w:br/>
        <w:t>SR s týmito štátmi uzavrela dvojstranné medzinárodné zmluvy o právnej pomoci, na základe ktorých sa osvedčenie nevyžaduje</w:t>
      </w:r>
    </w:p>
    <w:p w:rsidR="00B24C6E" w:rsidRPr="00B24C6E" w:rsidRDefault="00822C34" w:rsidP="00B24C6E">
      <w:pPr>
        <w:numPr>
          <w:ilvl w:val="0"/>
          <w:numId w:val="1"/>
        </w:numPr>
        <w:spacing w:before="100" w:beforeAutospacing="1" w:after="100" w:afterAutospacing="1" w:line="336" w:lineRule="auto"/>
        <w:rPr>
          <w:rFonts w:ascii="Tahoma" w:eastAsia="Times New Roman" w:hAnsi="Tahoma" w:cs="Tahoma"/>
          <w:color w:val="000000"/>
          <w:sz w:val="19"/>
          <w:szCs w:val="19"/>
          <w:lang w:eastAsia="sk-SK"/>
        </w:rPr>
      </w:pPr>
      <w:r>
        <w:rPr>
          <w:rFonts w:ascii="Tahoma" w:eastAsia="Times New Roman" w:hAnsi="Tahoma" w:cs="Tahoma"/>
          <w:b/>
          <w:bCs/>
          <w:color w:val="000000"/>
          <w:sz w:val="19"/>
          <w:szCs w:val="19"/>
          <w:lang w:eastAsia="sk-SK"/>
        </w:rPr>
        <w:t xml:space="preserve">2. </w:t>
      </w:r>
      <w:r w:rsidR="00B24C6E" w:rsidRPr="00B24C6E">
        <w:rPr>
          <w:rFonts w:ascii="Tahoma" w:eastAsia="Times New Roman" w:hAnsi="Tahoma" w:cs="Tahoma"/>
          <w:b/>
          <w:bCs/>
          <w:color w:val="000000"/>
          <w:sz w:val="19"/>
          <w:szCs w:val="19"/>
          <w:lang w:eastAsia="sk-SK"/>
        </w:rPr>
        <w:t>VYŽADUJÚ OSVEDČENIE - formou APOSTILLE</w:t>
      </w:r>
      <w:r w:rsidR="00B24C6E" w:rsidRPr="00B24C6E">
        <w:rPr>
          <w:rFonts w:ascii="Tahoma" w:eastAsia="Times New Roman" w:hAnsi="Tahoma" w:cs="Tahoma"/>
          <w:color w:val="000000"/>
          <w:sz w:val="19"/>
          <w:szCs w:val="19"/>
          <w:lang w:eastAsia="sk-SK"/>
        </w:rPr>
        <w:br/>
        <w:t xml:space="preserve">Tieto štáty sú zmluvnou stranou Dohovoru o zrušení požiadavky vyššieho overenia zahraničných verejných listín z 5. októbra 1961 - </w:t>
      </w:r>
      <w:proofErr w:type="spellStart"/>
      <w:r w:rsidR="00B24C6E" w:rsidRPr="00B24C6E">
        <w:rPr>
          <w:rFonts w:ascii="Tahoma" w:eastAsia="Times New Roman" w:hAnsi="Tahoma" w:cs="Tahoma"/>
          <w:color w:val="000000"/>
          <w:sz w:val="19"/>
          <w:szCs w:val="19"/>
          <w:lang w:eastAsia="sk-SK"/>
        </w:rPr>
        <w:t>Haagský</w:t>
      </w:r>
      <w:proofErr w:type="spellEnd"/>
      <w:r w:rsidR="00B24C6E" w:rsidRPr="00B24C6E">
        <w:rPr>
          <w:rFonts w:ascii="Tahoma" w:eastAsia="Times New Roman" w:hAnsi="Tahoma" w:cs="Tahoma"/>
          <w:color w:val="000000"/>
          <w:sz w:val="19"/>
          <w:szCs w:val="19"/>
          <w:lang w:eastAsia="sk-SK"/>
        </w:rPr>
        <w:t xml:space="preserve"> dohovor, a zároveň si určili orgány oprávnené vydávať osvedčenie tzv. APOSTILLE.</w:t>
      </w:r>
    </w:p>
    <w:p w:rsidR="00B24C6E" w:rsidRDefault="00B24C6E" w:rsidP="00B24C6E">
      <w:pPr>
        <w:spacing w:before="100" w:beforeAutospacing="1" w:after="100" w:afterAutospacing="1" w:line="336" w:lineRule="auto"/>
        <w:rPr>
          <w:rFonts w:ascii="Tahoma" w:eastAsia="Times New Roman" w:hAnsi="Tahoma" w:cs="Tahoma"/>
          <w:color w:val="000000"/>
          <w:sz w:val="19"/>
          <w:szCs w:val="19"/>
          <w:lang w:eastAsia="sk-SK"/>
        </w:rPr>
      </w:pPr>
      <w:r w:rsidRPr="00B24C6E">
        <w:rPr>
          <w:rFonts w:ascii="Tahoma" w:eastAsia="Times New Roman" w:hAnsi="Tahoma" w:cs="Tahoma"/>
          <w:color w:val="000000"/>
          <w:sz w:val="19"/>
          <w:szCs w:val="19"/>
          <w:lang w:eastAsia="sk-SK"/>
        </w:rPr>
        <w:t xml:space="preserve">Pristúpenie Slovenskej republiky k dohovoru má výrazný pozitívny dopad na občanov, pretože nemusia verejné listiny určené na použitie v Slovenskej republike ako i slovenské listiny na použitie v zmluvných krajinách dohovoru dať osvedčovať vo viacerých stupňoch na rôznych orgánoch. Na osvedčenie hodnovernosti verejnej listiny podľa dohovoru stačí, že orgán na to určený, opatrí takúto listinu jedným zvláštnym osvedčením - </w:t>
      </w:r>
      <w:proofErr w:type="spellStart"/>
      <w:r w:rsidRPr="00B24C6E">
        <w:rPr>
          <w:rFonts w:ascii="Tahoma" w:eastAsia="Times New Roman" w:hAnsi="Tahoma" w:cs="Tahoma"/>
          <w:b/>
          <w:bCs/>
          <w:color w:val="000000"/>
          <w:sz w:val="19"/>
          <w:szCs w:val="19"/>
          <w:lang w:eastAsia="sk-SK"/>
        </w:rPr>
        <w:t>apostilom</w:t>
      </w:r>
      <w:proofErr w:type="spellEnd"/>
      <w:r w:rsidRPr="00B24C6E">
        <w:rPr>
          <w:rFonts w:ascii="Tahoma" w:eastAsia="Times New Roman" w:hAnsi="Tahoma" w:cs="Tahoma"/>
          <w:color w:val="000000"/>
          <w:sz w:val="19"/>
          <w:szCs w:val="19"/>
          <w:lang w:eastAsia="sk-SK"/>
        </w:rPr>
        <w:t>.</w:t>
      </w:r>
    </w:p>
    <w:p w:rsidR="00822C34" w:rsidRPr="00822C34" w:rsidRDefault="00822C34" w:rsidP="00822C34">
      <w:pPr>
        <w:numPr>
          <w:ilvl w:val="0"/>
          <w:numId w:val="2"/>
        </w:numPr>
        <w:spacing w:before="100" w:beforeAutospacing="1" w:after="100" w:afterAutospacing="1" w:line="336" w:lineRule="auto"/>
        <w:rPr>
          <w:rFonts w:ascii="Tahoma" w:eastAsia="Times New Roman" w:hAnsi="Tahoma" w:cs="Tahoma"/>
          <w:color w:val="000000"/>
          <w:sz w:val="19"/>
          <w:szCs w:val="19"/>
          <w:lang w:eastAsia="sk-SK"/>
        </w:rPr>
      </w:pPr>
      <w:r w:rsidRPr="00822C34">
        <w:rPr>
          <w:rFonts w:ascii="Tahoma" w:eastAsia="Times New Roman" w:hAnsi="Tahoma" w:cs="Tahoma"/>
          <w:b/>
          <w:bCs/>
          <w:color w:val="000000"/>
          <w:sz w:val="19"/>
          <w:szCs w:val="19"/>
          <w:lang w:eastAsia="sk-SK"/>
        </w:rPr>
        <w:t>Slovenské orgány, určené vládou Slovenskej republiky, príslušné podľa Haagskeho dohovoru vydávať osvedčenia "APOSTILLE"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8"/>
        <w:gridCol w:w="6860"/>
      </w:tblGrid>
      <w:tr w:rsidR="00822C34" w:rsidRPr="00B24C6E" w:rsidTr="00DC7A08">
        <w:trPr>
          <w:tblCellSpacing w:w="15" w:type="dxa"/>
        </w:trPr>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b/>
                <w:bCs/>
                <w:color w:val="000000"/>
                <w:sz w:val="17"/>
                <w:szCs w:val="17"/>
                <w:lang w:eastAsia="sk-SK"/>
              </w:rPr>
              <w:t>Ministerstvo spravodlivosti SR</w:t>
            </w:r>
          </w:p>
        </w:tc>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color w:val="000000"/>
                <w:sz w:val="17"/>
                <w:szCs w:val="17"/>
                <w:lang w:eastAsia="sk-SK"/>
              </w:rPr>
              <w:t>Verejné listiny napr. listiny vydané Krajskými súdmi a Najvyšším súdom</w:t>
            </w:r>
          </w:p>
        </w:tc>
      </w:tr>
      <w:tr w:rsidR="00822C34" w:rsidRPr="00B24C6E" w:rsidTr="00DC7A08">
        <w:trPr>
          <w:tblCellSpacing w:w="15" w:type="dxa"/>
        </w:trPr>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b/>
                <w:bCs/>
                <w:color w:val="000000"/>
                <w:sz w:val="17"/>
                <w:szCs w:val="17"/>
                <w:lang w:eastAsia="sk-SK"/>
              </w:rPr>
              <w:t>Krajské súdy SR</w:t>
            </w:r>
          </w:p>
        </w:tc>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color w:val="000000"/>
                <w:sz w:val="17"/>
                <w:szCs w:val="17"/>
                <w:lang w:eastAsia="sk-SK"/>
              </w:rPr>
              <w:t>a) listiny vydané alebo osvedčené okresnými súdmi,  notármi, exekútormi alebo justičnými pracovníkmi v pôsobnosti kraj. súdu</w:t>
            </w:r>
            <w:r w:rsidRPr="00B24C6E">
              <w:rPr>
                <w:rFonts w:ascii="Tahoma" w:eastAsia="Times New Roman" w:hAnsi="Tahoma" w:cs="Tahoma"/>
                <w:color w:val="000000"/>
                <w:sz w:val="17"/>
                <w:szCs w:val="17"/>
                <w:lang w:eastAsia="sk-SK"/>
              </w:rPr>
              <w:br/>
              <w:t>b) preklady vyhotovené súdnymi tlmočníkmi pri Krajských súdoch</w:t>
            </w:r>
          </w:p>
        </w:tc>
      </w:tr>
      <w:tr w:rsidR="00822C34" w:rsidRPr="00B24C6E" w:rsidTr="00DC7A08">
        <w:trPr>
          <w:tblCellSpacing w:w="15" w:type="dxa"/>
        </w:trPr>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b/>
                <w:bCs/>
                <w:color w:val="000000"/>
                <w:sz w:val="17"/>
                <w:szCs w:val="17"/>
                <w:lang w:eastAsia="sk-SK"/>
              </w:rPr>
              <w:t>Ministerstvo vnútra SR</w:t>
            </w:r>
          </w:p>
        </w:tc>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color w:val="000000"/>
                <w:sz w:val="17"/>
                <w:szCs w:val="17"/>
                <w:lang w:eastAsia="sk-SK"/>
              </w:rPr>
              <w:t>Verejné listiny vydané v jeho rezorte (vrátane matričných dokladov vydaných Osobitnou matrikou)</w:t>
            </w:r>
          </w:p>
        </w:tc>
      </w:tr>
      <w:tr w:rsidR="00822C34" w:rsidRPr="00B24C6E" w:rsidTr="00DC7A08">
        <w:trPr>
          <w:tblCellSpacing w:w="15" w:type="dxa"/>
        </w:trPr>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b/>
                <w:bCs/>
                <w:color w:val="000000"/>
                <w:sz w:val="17"/>
                <w:szCs w:val="17"/>
                <w:lang w:eastAsia="sk-SK"/>
              </w:rPr>
              <w:t>Ministerstvo školstva SR</w:t>
            </w:r>
          </w:p>
        </w:tc>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color w:val="000000"/>
                <w:sz w:val="17"/>
                <w:szCs w:val="17"/>
                <w:lang w:eastAsia="sk-SK"/>
              </w:rPr>
              <w:t>Verejné listiny vydané v jeho rezorte (vysvedčenia, diplomy, …)</w:t>
            </w:r>
          </w:p>
        </w:tc>
      </w:tr>
      <w:tr w:rsidR="00822C34" w:rsidRPr="00B24C6E" w:rsidTr="00DC7A08">
        <w:trPr>
          <w:tblCellSpacing w:w="15" w:type="dxa"/>
        </w:trPr>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b/>
                <w:bCs/>
                <w:color w:val="000000"/>
                <w:sz w:val="17"/>
                <w:szCs w:val="17"/>
                <w:lang w:eastAsia="sk-SK"/>
              </w:rPr>
              <w:t>Ministerstvo zdravotníctva SR</w:t>
            </w:r>
          </w:p>
        </w:tc>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color w:val="000000"/>
                <w:sz w:val="17"/>
                <w:szCs w:val="17"/>
                <w:lang w:eastAsia="sk-SK"/>
              </w:rPr>
              <w:t>Verejné listiny vydané v jeho rezorte</w:t>
            </w:r>
          </w:p>
        </w:tc>
      </w:tr>
      <w:tr w:rsidR="00822C34" w:rsidRPr="00B24C6E" w:rsidTr="00DC7A08">
        <w:trPr>
          <w:tblCellSpacing w:w="15" w:type="dxa"/>
        </w:trPr>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b/>
                <w:bCs/>
                <w:color w:val="000000"/>
                <w:sz w:val="17"/>
                <w:szCs w:val="17"/>
                <w:lang w:eastAsia="sk-SK"/>
              </w:rPr>
              <w:t>Ministerstvo obrany SR</w:t>
            </w:r>
          </w:p>
        </w:tc>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color w:val="000000"/>
                <w:sz w:val="17"/>
                <w:szCs w:val="17"/>
                <w:lang w:eastAsia="sk-SK"/>
              </w:rPr>
              <w:t>Verejné listiny vydané v rezorte Ministerstva obrany SR</w:t>
            </w:r>
          </w:p>
        </w:tc>
      </w:tr>
      <w:tr w:rsidR="00822C34" w:rsidRPr="00B24C6E" w:rsidTr="00DC7A08">
        <w:trPr>
          <w:tblCellSpacing w:w="15" w:type="dxa"/>
        </w:trPr>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b/>
                <w:bCs/>
                <w:color w:val="000000"/>
                <w:sz w:val="17"/>
                <w:szCs w:val="17"/>
                <w:lang w:eastAsia="sk-SK"/>
              </w:rPr>
              <w:t>Okresné úrady</w:t>
            </w:r>
          </w:p>
        </w:tc>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color w:val="000000"/>
                <w:sz w:val="17"/>
                <w:szCs w:val="17"/>
                <w:lang w:eastAsia="sk-SK"/>
              </w:rPr>
              <w:t>a) matričné doklady (okrem vyhlásení o osobnom stave)</w:t>
            </w:r>
            <w:r w:rsidRPr="00B24C6E">
              <w:rPr>
                <w:rFonts w:ascii="Tahoma" w:eastAsia="Times New Roman" w:hAnsi="Tahoma" w:cs="Tahoma"/>
                <w:color w:val="000000"/>
                <w:sz w:val="17"/>
                <w:szCs w:val="17"/>
                <w:lang w:eastAsia="sk-SK"/>
              </w:rPr>
              <w:br/>
              <w:t>b) verejné listiny vydané orgánmi samospráv</w:t>
            </w:r>
          </w:p>
        </w:tc>
      </w:tr>
      <w:tr w:rsidR="00822C34" w:rsidRPr="00B24C6E" w:rsidTr="00DC7A08">
        <w:trPr>
          <w:tblCellSpacing w:w="15" w:type="dxa"/>
        </w:trPr>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b/>
                <w:bCs/>
                <w:color w:val="000000"/>
                <w:sz w:val="17"/>
                <w:szCs w:val="17"/>
                <w:lang w:eastAsia="sk-SK"/>
              </w:rPr>
              <w:t>Ministerstvo zahraničných vecí a európskych záležitostí SR </w:t>
            </w:r>
          </w:p>
        </w:tc>
        <w:tc>
          <w:tcPr>
            <w:tcW w:w="0" w:type="auto"/>
            <w:vAlign w:val="center"/>
            <w:hideMark/>
          </w:tcPr>
          <w:p w:rsidR="00822C34" w:rsidRPr="00B24C6E" w:rsidRDefault="00822C34" w:rsidP="00DC7A08">
            <w:pPr>
              <w:spacing w:after="0"/>
              <w:jc w:val="center"/>
              <w:rPr>
                <w:rFonts w:ascii="Tahoma" w:eastAsia="Times New Roman" w:hAnsi="Tahoma" w:cs="Tahoma"/>
                <w:color w:val="000000"/>
                <w:sz w:val="17"/>
                <w:szCs w:val="17"/>
                <w:lang w:eastAsia="sk-SK"/>
              </w:rPr>
            </w:pPr>
            <w:r w:rsidRPr="00B24C6E">
              <w:rPr>
                <w:rFonts w:ascii="Tahoma" w:eastAsia="Times New Roman" w:hAnsi="Tahoma" w:cs="Tahoma"/>
                <w:color w:val="000000"/>
                <w:sz w:val="17"/>
                <w:szCs w:val="17"/>
                <w:lang w:eastAsia="sk-SK"/>
              </w:rPr>
              <w:t xml:space="preserve">Všetky ostatné verejné listiny vydané v SR </w:t>
            </w:r>
            <w:r w:rsidRPr="00B24C6E">
              <w:rPr>
                <w:rFonts w:ascii="Tahoma" w:eastAsia="Times New Roman" w:hAnsi="Tahoma" w:cs="Tahoma"/>
                <w:color w:val="000000"/>
                <w:sz w:val="17"/>
                <w:szCs w:val="17"/>
                <w:lang w:eastAsia="sk-SK"/>
              </w:rPr>
              <w:br/>
              <w:t>(register trestov, doklady vydané MH SR, obch. komorami, daňovými úradmi, výpisy z katastra, certifikáty vyd. Štátny úrad pre kontrolu liečiv, Štátny veterinárny a potravinový ústav Bratislava a pod.)</w:t>
            </w:r>
          </w:p>
        </w:tc>
      </w:tr>
    </w:tbl>
    <w:p w:rsidR="00822C34" w:rsidRPr="00B24C6E" w:rsidRDefault="00822C34" w:rsidP="00822C34">
      <w:pPr>
        <w:numPr>
          <w:ilvl w:val="0"/>
          <w:numId w:val="2"/>
        </w:numPr>
        <w:spacing w:before="100" w:beforeAutospacing="1" w:after="100" w:afterAutospacing="1" w:line="336" w:lineRule="auto"/>
        <w:rPr>
          <w:rFonts w:ascii="Tahoma" w:eastAsia="Times New Roman" w:hAnsi="Tahoma" w:cs="Tahoma"/>
          <w:color w:val="000000"/>
          <w:sz w:val="19"/>
          <w:szCs w:val="19"/>
          <w:lang w:eastAsia="sk-SK"/>
        </w:rPr>
      </w:pPr>
      <w:r>
        <w:rPr>
          <w:rFonts w:ascii="Tahoma" w:eastAsia="Times New Roman" w:hAnsi="Tahoma" w:cs="Tahoma"/>
          <w:color w:val="000000"/>
          <w:sz w:val="19"/>
          <w:szCs w:val="19"/>
          <w:lang w:eastAsia="sk-SK"/>
        </w:rPr>
        <w:tab/>
      </w:r>
      <w:r>
        <w:rPr>
          <w:rFonts w:ascii="Tahoma" w:eastAsia="Times New Roman" w:hAnsi="Tahoma" w:cs="Tahoma"/>
          <w:b/>
          <w:bCs/>
          <w:color w:val="000000"/>
          <w:sz w:val="19"/>
          <w:szCs w:val="19"/>
          <w:lang w:eastAsia="sk-SK"/>
        </w:rPr>
        <w:t xml:space="preserve">3. </w:t>
      </w:r>
      <w:bookmarkStart w:id="0" w:name="_GoBack"/>
      <w:bookmarkEnd w:id="0"/>
      <w:r w:rsidRPr="00B24C6E">
        <w:rPr>
          <w:rFonts w:ascii="Tahoma" w:eastAsia="Times New Roman" w:hAnsi="Tahoma" w:cs="Tahoma"/>
          <w:b/>
          <w:bCs/>
          <w:color w:val="000000"/>
          <w:sz w:val="19"/>
          <w:szCs w:val="19"/>
          <w:lang w:eastAsia="sk-SK"/>
        </w:rPr>
        <w:t>VYŽADUJÚ VYŠŠIE OSVEDČENIE verejných listín – SUPERLEGALIZÁCIA</w:t>
      </w:r>
    </w:p>
    <w:p w:rsidR="00822C34" w:rsidRPr="00B24C6E" w:rsidRDefault="00822C34" w:rsidP="00822C34">
      <w:pPr>
        <w:spacing w:before="100" w:beforeAutospacing="1" w:after="100" w:afterAutospacing="1" w:line="336" w:lineRule="auto"/>
        <w:rPr>
          <w:rFonts w:ascii="Tahoma" w:eastAsia="Times New Roman" w:hAnsi="Tahoma" w:cs="Tahoma"/>
          <w:color w:val="000000"/>
          <w:sz w:val="19"/>
          <w:szCs w:val="19"/>
          <w:lang w:eastAsia="sk-SK"/>
        </w:rPr>
      </w:pPr>
      <w:r w:rsidRPr="00B24C6E">
        <w:rPr>
          <w:rFonts w:ascii="Tahoma" w:eastAsia="Times New Roman" w:hAnsi="Tahoma" w:cs="Tahoma"/>
          <w:color w:val="000000"/>
          <w:sz w:val="19"/>
          <w:szCs w:val="19"/>
          <w:lang w:eastAsia="sk-SK"/>
        </w:rPr>
        <w:t>S týmito štátmi neviaže SR žiadna dvojstranná zmluva a zároveň nepristúpili k Dohovoru o zrušení požiadavky vyššieho overenia zahraničných verejných listín.</w:t>
      </w:r>
      <w:r w:rsidRPr="00B24C6E">
        <w:rPr>
          <w:rFonts w:ascii="Tahoma" w:eastAsia="Times New Roman" w:hAnsi="Tahoma" w:cs="Tahoma"/>
          <w:color w:val="000000"/>
          <w:sz w:val="19"/>
          <w:szCs w:val="19"/>
          <w:lang w:eastAsia="sk-SK"/>
        </w:rPr>
        <w:br/>
        <w:t xml:space="preserve">Listiny na použitie do týchto štátov podliehajú naďalej procesu legalizácie a </w:t>
      </w:r>
      <w:proofErr w:type="spellStart"/>
      <w:r w:rsidRPr="00B24C6E">
        <w:rPr>
          <w:rFonts w:ascii="Tahoma" w:eastAsia="Times New Roman" w:hAnsi="Tahoma" w:cs="Tahoma"/>
          <w:color w:val="000000"/>
          <w:sz w:val="19"/>
          <w:szCs w:val="19"/>
          <w:lang w:eastAsia="sk-SK"/>
        </w:rPr>
        <w:t>superlegalizácie</w:t>
      </w:r>
      <w:proofErr w:type="spellEnd"/>
      <w:r w:rsidRPr="00B24C6E">
        <w:rPr>
          <w:rFonts w:ascii="Tahoma" w:eastAsia="Times New Roman" w:hAnsi="Tahoma" w:cs="Tahoma"/>
          <w:color w:val="000000"/>
          <w:sz w:val="19"/>
          <w:szCs w:val="19"/>
          <w:lang w:eastAsia="sk-SK"/>
        </w:rPr>
        <w:t xml:space="preserve"> podľa § 52 zákona č. 97/1963 Zb. o medzinárodnom práve súkromnom a procesnom. </w:t>
      </w:r>
      <w:r w:rsidRPr="00B24C6E">
        <w:rPr>
          <w:rFonts w:ascii="Tahoma" w:eastAsia="Times New Roman" w:hAnsi="Tahoma" w:cs="Tahoma"/>
          <w:color w:val="000000"/>
          <w:sz w:val="19"/>
          <w:szCs w:val="19"/>
          <w:lang w:eastAsia="sk-SK"/>
        </w:rPr>
        <w:br/>
        <w:t xml:space="preserve">Verejnú listinu vydanú orgánmi SR osvedčí príslušný úrad podľa druhu dokladu, po tomto prvotnom </w:t>
      </w:r>
      <w:r w:rsidRPr="00B24C6E">
        <w:rPr>
          <w:rFonts w:ascii="Tahoma" w:eastAsia="Times New Roman" w:hAnsi="Tahoma" w:cs="Tahoma"/>
          <w:color w:val="000000"/>
          <w:sz w:val="19"/>
          <w:szCs w:val="19"/>
          <w:lang w:eastAsia="sk-SK"/>
        </w:rPr>
        <w:lastRenderedPageBreak/>
        <w:t>osvedčení  nasleduje osvedčenie konzulárneho odboru Ministerstva zahraničných vecí a európskych záležitostí Slovenskej republiky, a napokon doklad osvedčí  veľvyslanectvo/konzulát štátu, v ktorom má byť doklad použitý.</w:t>
      </w:r>
    </w:p>
    <w:p w:rsidR="00822C34" w:rsidRDefault="00822C34" w:rsidP="00822C34">
      <w:pPr>
        <w:spacing w:before="100" w:beforeAutospacing="1" w:after="100" w:afterAutospacing="1" w:line="336" w:lineRule="auto"/>
        <w:rPr>
          <w:rFonts w:ascii="Tahoma" w:eastAsia="Times New Roman" w:hAnsi="Tahoma" w:cs="Tahoma"/>
          <w:color w:val="000000"/>
          <w:sz w:val="19"/>
          <w:szCs w:val="19"/>
          <w:lang w:eastAsia="sk-SK"/>
        </w:rPr>
      </w:pPr>
      <w:proofErr w:type="spellStart"/>
      <w:r w:rsidRPr="00B24C6E">
        <w:rPr>
          <w:rFonts w:ascii="Tahoma" w:eastAsia="Times New Roman" w:hAnsi="Tahoma" w:cs="Tahoma"/>
          <w:color w:val="000000"/>
          <w:sz w:val="19"/>
          <w:szCs w:val="19"/>
          <w:lang w:eastAsia="sk-SK"/>
        </w:rPr>
        <w:t>Môžte</w:t>
      </w:r>
      <w:proofErr w:type="spellEnd"/>
      <w:r w:rsidRPr="00B24C6E">
        <w:rPr>
          <w:rFonts w:ascii="Tahoma" w:eastAsia="Times New Roman" w:hAnsi="Tahoma" w:cs="Tahoma"/>
          <w:color w:val="000000"/>
          <w:sz w:val="19"/>
          <w:szCs w:val="19"/>
          <w:lang w:eastAsia="sk-SK"/>
        </w:rPr>
        <w:t xml:space="preserve"> si stiahnuť </w:t>
      </w:r>
      <w:hyperlink r:id="rId5" w:history="1">
        <w:r w:rsidRPr="00B24C6E">
          <w:rPr>
            <w:rFonts w:ascii="Tahoma" w:eastAsia="Times New Roman" w:hAnsi="Tahoma" w:cs="Tahoma"/>
            <w:b/>
            <w:bCs/>
            <w:color w:val="24578A"/>
            <w:sz w:val="19"/>
            <w:szCs w:val="19"/>
            <w:u w:val="single"/>
            <w:lang w:eastAsia="sk-SK"/>
          </w:rPr>
          <w:t xml:space="preserve">zoznam štátov </w:t>
        </w:r>
      </w:hyperlink>
      <w:r w:rsidRPr="00B24C6E">
        <w:rPr>
          <w:rFonts w:ascii="Tahoma" w:eastAsia="Times New Roman" w:hAnsi="Tahoma" w:cs="Tahoma"/>
          <w:color w:val="000000"/>
          <w:sz w:val="19"/>
          <w:szCs w:val="19"/>
          <w:lang w:eastAsia="sk-SK"/>
        </w:rPr>
        <w:t xml:space="preserve">v RTF [662.0 </w:t>
      </w:r>
      <w:proofErr w:type="spellStart"/>
      <w:r w:rsidRPr="00B24C6E">
        <w:rPr>
          <w:rFonts w:ascii="Tahoma" w:eastAsia="Times New Roman" w:hAnsi="Tahoma" w:cs="Tahoma"/>
          <w:color w:val="000000"/>
          <w:sz w:val="19"/>
          <w:szCs w:val="19"/>
          <w:lang w:eastAsia="sk-SK"/>
        </w:rPr>
        <w:t>kB</w:t>
      </w:r>
      <w:proofErr w:type="spellEnd"/>
      <w:r w:rsidRPr="00B24C6E">
        <w:rPr>
          <w:rFonts w:ascii="Tahoma" w:eastAsia="Times New Roman" w:hAnsi="Tahoma" w:cs="Tahoma"/>
          <w:color w:val="000000"/>
          <w:sz w:val="19"/>
          <w:szCs w:val="19"/>
          <w:lang w:eastAsia="sk-SK"/>
        </w:rPr>
        <w:t>] formáte s uvedením formy overenia verejných listín</w:t>
      </w:r>
    </w:p>
    <w:p w:rsidR="00B24C6E" w:rsidRPr="008F25BD" w:rsidRDefault="00822C34" w:rsidP="00822C34">
      <w:pPr>
        <w:numPr>
          <w:ilvl w:val="0"/>
          <w:numId w:val="2"/>
        </w:numPr>
        <w:spacing w:before="100" w:beforeAutospacing="1" w:after="100" w:afterAutospacing="1" w:line="336" w:lineRule="auto"/>
        <w:rPr>
          <w:rFonts w:ascii="Tahoma" w:eastAsia="Times New Roman" w:hAnsi="Tahoma" w:cs="Tahoma"/>
          <w:b/>
          <w:color w:val="000000"/>
          <w:sz w:val="19"/>
          <w:szCs w:val="19"/>
          <w:lang w:eastAsia="sk-SK"/>
        </w:rPr>
      </w:pPr>
      <w:r w:rsidRPr="00822C34">
        <w:rPr>
          <w:rFonts w:ascii="Tahoma" w:eastAsia="Times New Roman" w:hAnsi="Tahoma" w:cs="Tahoma"/>
          <w:color w:val="000000"/>
          <w:sz w:val="19"/>
          <w:szCs w:val="19"/>
          <w:lang w:eastAsia="sk-SK"/>
        </w:rPr>
        <w:tab/>
      </w:r>
      <w:r w:rsidR="00B24C6E" w:rsidRPr="008F25BD">
        <w:rPr>
          <w:rFonts w:ascii="Tahoma" w:eastAsia="Times New Roman" w:hAnsi="Tahoma" w:cs="Tahoma"/>
          <w:b/>
          <w:color w:val="000000"/>
          <w:sz w:val="19"/>
          <w:szCs w:val="19"/>
          <w:lang w:eastAsia="sk-SK"/>
        </w:rPr>
        <w:t xml:space="preserve">Okresný úrad </w:t>
      </w:r>
      <w:r w:rsidR="00B73374" w:rsidRPr="008F25BD">
        <w:rPr>
          <w:rFonts w:ascii="Tahoma" w:eastAsia="Times New Roman" w:hAnsi="Tahoma" w:cs="Tahoma"/>
          <w:b/>
          <w:color w:val="000000"/>
          <w:sz w:val="19"/>
          <w:szCs w:val="19"/>
          <w:lang w:eastAsia="sk-SK"/>
        </w:rPr>
        <w:t>Michalovce</w:t>
      </w:r>
      <w:r w:rsidR="00B24C6E" w:rsidRPr="008F25BD">
        <w:rPr>
          <w:rFonts w:ascii="Tahoma" w:eastAsia="Times New Roman" w:hAnsi="Tahoma" w:cs="Tahoma"/>
          <w:b/>
          <w:color w:val="000000"/>
          <w:sz w:val="19"/>
          <w:szCs w:val="19"/>
          <w:lang w:eastAsia="sk-SK"/>
        </w:rPr>
        <w:t xml:space="preserve"> je oprávnený vydávať osvedčenia na použitie v zahraničí pre:</w:t>
      </w:r>
    </w:p>
    <w:p w:rsidR="00B24C6E" w:rsidRPr="006429BE" w:rsidRDefault="00B24C6E" w:rsidP="00B24C6E">
      <w:pPr>
        <w:numPr>
          <w:ilvl w:val="0"/>
          <w:numId w:val="3"/>
        </w:numPr>
        <w:spacing w:before="100" w:beforeAutospacing="1" w:after="100" w:afterAutospacing="1" w:line="336" w:lineRule="auto"/>
        <w:rPr>
          <w:rFonts w:ascii="Tahoma" w:eastAsia="Times New Roman" w:hAnsi="Tahoma" w:cs="Tahoma"/>
          <w:color w:val="000000"/>
          <w:sz w:val="19"/>
          <w:szCs w:val="19"/>
          <w:u w:val="single"/>
          <w:lang w:eastAsia="sk-SK"/>
        </w:rPr>
      </w:pPr>
      <w:r w:rsidRPr="006429BE">
        <w:rPr>
          <w:rFonts w:ascii="Tahoma" w:eastAsia="Times New Roman" w:hAnsi="Tahoma" w:cs="Tahoma"/>
          <w:color w:val="000000"/>
          <w:sz w:val="19"/>
          <w:szCs w:val="19"/>
          <w:u w:val="single"/>
          <w:lang w:eastAsia="sk-SK"/>
        </w:rPr>
        <w:t>matričné doklady (okrem rozhodnutí o osobnom stave), vydané matričným úradom vo svojom územnom obvode</w:t>
      </w:r>
    </w:p>
    <w:p w:rsidR="00B24C6E" w:rsidRPr="006429BE" w:rsidRDefault="00B24C6E" w:rsidP="00B24C6E">
      <w:pPr>
        <w:numPr>
          <w:ilvl w:val="0"/>
          <w:numId w:val="3"/>
        </w:numPr>
        <w:spacing w:before="100" w:beforeAutospacing="1" w:after="100" w:afterAutospacing="1" w:line="336" w:lineRule="auto"/>
        <w:rPr>
          <w:rFonts w:ascii="Tahoma" w:eastAsia="Times New Roman" w:hAnsi="Tahoma" w:cs="Tahoma"/>
          <w:color w:val="000000"/>
          <w:sz w:val="19"/>
          <w:szCs w:val="19"/>
          <w:u w:val="single"/>
          <w:lang w:eastAsia="sk-SK"/>
        </w:rPr>
      </w:pPr>
      <w:r w:rsidRPr="006429BE">
        <w:rPr>
          <w:rFonts w:ascii="Tahoma" w:eastAsia="Times New Roman" w:hAnsi="Tahoma" w:cs="Tahoma"/>
          <w:color w:val="000000"/>
          <w:sz w:val="19"/>
          <w:szCs w:val="19"/>
          <w:u w:val="single"/>
          <w:lang w:eastAsia="sk-SK"/>
        </w:rPr>
        <w:t>verejné listiny vydané orgánmi samosprávy vo svojom územnom obvode</w:t>
      </w:r>
    </w:p>
    <w:p w:rsidR="00037D00" w:rsidRDefault="00037D00" w:rsidP="00B24C6E">
      <w:pPr>
        <w:spacing w:before="100" w:beforeAutospacing="1" w:after="100" w:afterAutospacing="1" w:line="336" w:lineRule="auto"/>
        <w:rPr>
          <w:rFonts w:ascii="Tahoma" w:eastAsia="Times New Roman" w:hAnsi="Tahoma" w:cs="Tahoma"/>
          <w:color w:val="000000"/>
          <w:sz w:val="19"/>
          <w:szCs w:val="19"/>
          <w:lang w:eastAsia="sk-SK"/>
        </w:rPr>
      </w:pPr>
      <w:r>
        <w:rPr>
          <w:rFonts w:ascii="Tahoma" w:eastAsia="Times New Roman" w:hAnsi="Tahoma" w:cs="Tahoma"/>
          <w:color w:val="000000"/>
          <w:sz w:val="19"/>
          <w:szCs w:val="19"/>
          <w:lang w:eastAsia="sk-SK"/>
        </w:rPr>
        <w:t xml:space="preserve">Tento správny úkon je spoplatňovaný podľa platného Sadzobníka správnych poplatkov zákona NR SR č. 145/1995 </w:t>
      </w:r>
      <w:proofErr w:type="spellStart"/>
      <w:r>
        <w:rPr>
          <w:rFonts w:ascii="Tahoma" w:eastAsia="Times New Roman" w:hAnsi="Tahoma" w:cs="Tahoma"/>
          <w:color w:val="000000"/>
          <w:sz w:val="19"/>
          <w:szCs w:val="19"/>
          <w:lang w:eastAsia="sk-SK"/>
        </w:rPr>
        <w:t>Z.z</w:t>
      </w:r>
      <w:proofErr w:type="spellEnd"/>
      <w:r>
        <w:rPr>
          <w:rFonts w:ascii="Tahoma" w:eastAsia="Times New Roman" w:hAnsi="Tahoma" w:cs="Tahoma"/>
          <w:color w:val="000000"/>
          <w:sz w:val="19"/>
          <w:szCs w:val="19"/>
          <w:lang w:eastAsia="sk-SK"/>
        </w:rPr>
        <w:t>. o správnych poplatkoch v znení neskorších predpisov v kolkových známkach:</w:t>
      </w:r>
    </w:p>
    <w:p w:rsidR="00D36894" w:rsidRPr="00D36894" w:rsidRDefault="00D36894" w:rsidP="00D36894">
      <w:pPr>
        <w:spacing w:before="100" w:beforeAutospacing="1" w:after="100" w:afterAutospacing="1" w:line="336" w:lineRule="auto"/>
        <w:rPr>
          <w:rFonts w:ascii="Tahoma" w:eastAsia="Times New Roman" w:hAnsi="Tahoma" w:cs="Tahoma"/>
          <w:b/>
          <w:color w:val="000000"/>
          <w:sz w:val="19"/>
          <w:szCs w:val="19"/>
          <w:lang w:eastAsia="sk-SK"/>
        </w:rPr>
      </w:pPr>
      <w:r w:rsidRPr="00D36894">
        <w:rPr>
          <w:rFonts w:ascii="Tahoma" w:eastAsia="Times New Roman" w:hAnsi="Tahoma" w:cs="Tahoma"/>
          <w:b/>
          <w:color w:val="000000"/>
          <w:sz w:val="19"/>
          <w:szCs w:val="19"/>
          <w:lang w:eastAsia="sk-SK"/>
        </w:rPr>
        <w:t xml:space="preserve">Položka 3/  </w:t>
      </w:r>
    </w:p>
    <w:p w:rsidR="00EC57C4" w:rsidRPr="00D36894" w:rsidRDefault="00EC57C4" w:rsidP="00D36894">
      <w:pPr>
        <w:spacing w:before="100" w:beforeAutospacing="1" w:after="100" w:afterAutospacing="1" w:line="336" w:lineRule="auto"/>
        <w:rPr>
          <w:b/>
          <w:sz w:val="19"/>
          <w:szCs w:val="19"/>
        </w:rPr>
      </w:pPr>
      <w:r w:rsidRPr="00D36894">
        <w:rPr>
          <w:b/>
          <w:sz w:val="19"/>
          <w:szCs w:val="19"/>
        </w:rPr>
        <w:t>OSVEDČENIE ODTLAČKU ÚRADNEJ PEČIATKY A ÚRADNÉHO PODPISU A APOSTILLE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8856"/>
      </w:tblGrid>
      <w:tr w:rsidR="00EC57C4" w:rsidRPr="00D36894" w:rsidTr="00EC57C4">
        <w:trPr>
          <w:tblCellSpacing w:w="15" w:type="dxa"/>
        </w:trPr>
        <w:tc>
          <w:tcPr>
            <w:tcW w:w="0" w:type="auto"/>
            <w:vAlign w:val="center"/>
          </w:tcPr>
          <w:p w:rsidR="00EC57C4" w:rsidRPr="00D36894" w:rsidRDefault="00EC57C4">
            <w:pPr>
              <w:jc w:val="right"/>
              <w:rPr>
                <w:rFonts w:ascii="Tahoma" w:hAnsi="Tahoma" w:cs="Tahoma"/>
                <w:b/>
                <w:color w:val="000000"/>
                <w:sz w:val="17"/>
                <w:szCs w:val="17"/>
              </w:rPr>
            </w:pPr>
          </w:p>
        </w:tc>
        <w:tc>
          <w:tcPr>
            <w:tcW w:w="0" w:type="auto"/>
            <w:vAlign w:val="center"/>
          </w:tcPr>
          <w:p w:rsidR="00EC57C4" w:rsidRPr="00D36894" w:rsidRDefault="00EC57C4">
            <w:pPr>
              <w:jc w:val="center"/>
              <w:rPr>
                <w:rFonts w:ascii="Tahoma" w:hAnsi="Tahoma" w:cs="Tahoma"/>
                <w:b/>
                <w:color w:val="000000"/>
                <w:sz w:val="17"/>
                <w:szCs w:val="17"/>
              </w:rPr>
            </w:pPr>
          </w:p>
        </w:tc>
      </w:tr>
      <w:tr w:rsidR="00EC57C4" w:rsidRPr="00D36894" w:rsidTr="00EC57C4">
        <w:trPr>
          <w:tblCellSpacing w:w="15" w:type="dxa"/>
        </w:trPr>
        <w:tc>
          <w:tcPr>
            <w:tcW w:w="0" w:type="auto"/>
            <w:vAlign w:val="center"/>
            <w:hideMark/>
          </w:tcPr>
          <w:p w:rsidR="00EC57C4" w:rsidRPr="00D36894" w:rsidRDefault="00EC57C4">
            <w:pPr>
              <w:jc w:val="right"/>
              <w:rPr>
                <w:rFonts w:ascii="Tahoma" w:hAnsi="Tahoma" w:cs="Tahoma"/>
                <w:b/>
                <w:color w:val="000000"/>
                <w:sz w:val="17"/>
                <w:szCs w:val="17"/>
              </w:rPr>
            </w:pPr>
            <w:r w:rsidRPr="00D36894">
              <w:rPr>
                <w:rStyle w:val="Siln"/>
                <w:rFonts w:ascii="Tahoma" w:hAnsi="Tahoma" w:cs="Tahoma"/>
                <w:color w:val="000000"/>
                <w:sz w:val="17"/>
                <w:szCs w:val="17"/>
              </w:rPr>
              <w:t>5,00 €</w:t>
            </w:r>
          </w:p>
        </w:tc>
        <w:tc>
          <w:tcPr>
            <w:tcW w:w="0" w:type="auto"/>
            <w:vAlign w:val="center"/>
            <w:hideMark/>
          </w:tcPr>
          <w:p w:rsidR="00EC57C4" w:rsidRPr="00D36894" w:rsidRDefault="00EC57C4">
            <w:pPr>
              <w:jc w:val="center"/>
              <w:rPr>
                <w:rFonts w:ascii="Tahoma" w:hAnsi="Tahoma" w:cs="Tahoma"/>
                <w:b/>
                <w:color w:val="000000"/>
                <w:sz w:val="17"/>
                <w:szCs w:val="17"/>
              </w:rPr>
            </w:pPr>
            <w:r w:rsidRPr="00D36894">
              <w:rPr>
                <w:rFonts w:ascii="Tahoma" w:hAnsi="Tahoma" w:cs="Tahoma"/>
                <w:b/>
                <w:color w:val="000000"/>
                <w:sz w:val="17"/>
                <w:szCs w:val="17"/>
              </w:rPr>
              <w:t>- odtlačku úradnej pečiatky a úradného podpisu, za každý odtlačok a za každý podpis (vyššie overenie)</w:t>
            </w:r>
          </w:p>
        </w:tc>
      </w:tr>
      <w:tr w:rsidR="00EC57C4" w:rsidRPr="00D36894" w:rsidTr="00EC57C4">
        <w:trPr>
          <w:tblCellSpacing w:w="15" w:type="dxa"/>
        </w:trPr>
        <w:tc>
          <w:tcPr>
            <w:tcW w:w="0" w:type="auto"/>
            <w:vAlign w:val="center"/>
            <w:hideMark/>
          </w:tcPr>
          <w:p w:rsidR="00EC57C4" w:rsidRPr="00D36894" w:rsidRDefault="00EC57C4">
            <w:pPr>
              <w:jc w:val="right"/>
              <w:rPr>
                <w:rFonts w:ascii="Tahoma" w:hAnsi="Tahoma" w:cs="Tahoma"/>
                <w:b/>
                <w:color w:val="000000"/>
                <w:sz w:val="17"/>
                <w:szCs w:val="17"/>
              </w:rPr>
            </w:pPr>
            <w:r w:rsidRPr="00D36894">
              <w:rPr>
                <w:rStyle w:val="Siln"/>
                <w:rFonts w:ascii="Tahoma" w:hAnsi="Tahoma" w:cs="Tahoma"/>
                <w:color w:val="000000"/>
                <w:sz w:val="17"/>
                <w:szCs w:val="17"/>
              </w:rPr>
              <w:t>10,00 €</w:t>
            </w:r>
          </w:p>
        </w:tc>
        <w:tc>
          <w:tcPr>
            <w:tcW w:w="0" w:type="auto"/>
            <w:vAlign w:val="center"/>
            <w:hideMark/>
          </w:tcPr>
          <w:p w:rsidR="00EC57C4" w:rsidRPr="00D36894" w:rsidRDefault="00EC57C4">
            <w:pPr>
              <w:jc w:val="center"/>
              <w:rPr>
                <w:rFonts w:ascii="Tahoma" w:hAnsi="Tahoma" w:cs="Tahoma"/>
                <w:b/>
                <w:color w:val="000000"/>
                <w:sz w:val="17"/>
                <w:szCs w:val="17"/>
              </w:rPr>
            </w:pPr>
            <w:r w:rsidRPr="00D36894">
              <w:rPr>
                <w:rFonts w:ascii="Tahoma" w:hAnsi="Tahoma" w:cs="Tahoma"/>
                <w:b/>
                <w:color w:val="000000"/>
                <w:sz w:val="17"/>
                <w:szCs w:val="17"/>
              </w:rPr>
              <w:t>- podľa Dohovoru o zrušení požiadavky vyššieho overenia zahraničných verejných listín (</w:t>
            </w:r>
            <w:proofErr w:type="spellStart"/>
            <w:r w:rsidRPr="00D36894">
              <w:rPr>
                <w:rFonts w:ascii="Tahoma" w:hAnsi="Tahoma" w:cs="Tahoma"/>
                <w:b/>
                <w:color w:val="000000"/>
                <w:sz w:val="17"/>
                <w:szCs w:val="17"/>
              </w:rPr>
              <w:t>apostilla</w:t>
            </w:r>
            <w:proofErr w:type="spellEnd"/>
            <w:r w:rsidRPr="00D36894">
              <w:rPr>
                <w:rFonts w:ascii="Tahoma" w:hAnsi="Tahoma" w:cs="Tahoma"/>
                <w:b/>
                <w:color w:val="000000"/>
                <w:sz w:val="17"/>
                <w:szCs w:val="17"/>
              </w:rPr>
              <w:t>)</w:t>
            </w:r>
          </w:p>
        </w:tc>
      </w:tr>
    </w:tbl>
    <w:p w:rsidR="008F25BD" w:rsidRDefault="008F25BD" w:rsidP="008F25BD">
      <w:pPr>
        <w:spacing w:before="100" w:beforeAutospacing="1" w:after="100" w:afterAutospacing="1" w:line="336" w:lineRule="auto"/>
        <w:rPr>
          <w:rFonts w:ascii="Tahoma" w:eastAsia="Times New Roman" w:hAnsi="Tahoma" w:cs="Tahoma"/>
          <w:color w:val="000000"/>
          <w:sz w:val="19"/>
          <w:szCs w:val="19"/>
          <w:lang w:eastAsia="sk-SK"/>
        </w:rPr>
      </w:pPr>
      <w:r w:rsidRPr="00B24C6E">
        <w:rPr>
          <w:rFonts w:ascii="Tahoma" w:eastAsia="Times New Roman" w:hAnsi="Tahoma" w:cs="Tahoma"/>
          <w:color w:val="000000"/>
          <w:sz w:val="19"/>
          <w:szCs w:val="19"/>
          <w:lang w:eastAsia="sk-SK"/>
        </w:rPr>
        <w:t xml:space="preserve">Ďalšie informácie k osvedčovaniu verejných listín </w:t>
      </w:r>
      <w:r>
        <w:rPr>
          <w:rFonts w:ascii="Tahoma" w:eastAsia="Times New Roman" w:hAnsi="Tahoma" w:cs="Tahoma"/>
          <w:color w:val="000000"/>
          <w:sz w:val="19"/>
          <w:szCs w:val="19"/>
          <w:lang w:eastAsia="sk-SK"/>
        </w:rPr>
        <w:t>d</w:t>
      </w:r>
      <w:r w:rsidRPr="00B24C6E">
        <w:rPr>
          <w:rFonts w:ascii="Tahoma" w:eastAsia="Times New Roman" w:hAnsi="Tahoma" w:cs="Tahoma"/>
          <w:color w:val="000000"/>
          <w:sz w:val="19"/>
          <w:szCs w:val="19"/>
          <w:lang w:eastAsia="sk-SK"/>
        </w:rPr>
        <w:t xml:space="preserve">o zahraničia  sú na webovej stránke </w:t>
      </w:r>
      <w:hyperlink r:id="rId6" w:history="1">
        <w:r w:rsidRPr="00B24C6E">
          <w:rPr>
            <w:rFonts w:ascii="Tahoma" w:eastAsia="Times New Roman" w:hAnsi="Tahoma" w:cs="Tahoma"/>
            <w:b/>
            <w:bCs/>
            <w:color w:val="24578A"/>
            <w:sz w:val="19"/>
            <w:szCs w:val="19"/>
            <w:u w:val="single"/>
            <w:lang w:eastAsia="sk-SK"/>
          </w:rPr>
          <w:t>Ministerstva zahraničných vecí SR</w:t>
        </w:r>
      </w:hyperlink>
    </w:p>
    <w:p w:rsidR="00963496" w:rsidRDefault="00963496"/>
    <w:sectPr w:rsidR="00963496" w:rsidSect="004B28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B069B9"/>
    <w:multiLevelType w:val="multilevel"/>
    <w:tmpl w:val="56A0A5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82734"/>
    <w:multiLevelType w:val="multilevel"/>
    <w:tmpl w:val="6F96665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83794"/>
    <w:multiLevelType w:val="multilevel"/>
    <w:tmpl w:val="BA92EA1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6E"/>
    <w:rsid w:val="00037D00"/>
    <w:rsid w:val="001A6D59"/>
    <w:rsid w:val="004B28C8"/>
    <w:rsid w:val="006429BE"/>
    <w:rsid w:val="00822C34"/>
    <w:rsid w:val="008F25BD"/>
    <w:rsid w:val="00963496"/>
    <w:rsid w:val="00B24C6E"/>
    <w:rsid w:val="00B73374"/>
    <w:rsid w:val="00D36894"/>
    <w:rsid w:val="00EC57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5BD1"/>
  <w15:chartTrackingRefBased/>
  <w15:docId w15:val="{13E5750A-CFE6-422D-850B-434E75F7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24C6E"/>
    <w:pPr>
      <w:spacing w:after="150" w:line="288" w:lineRule="auto"/>
      <w:outlineLvl w:val="0"/>
    </w:pPr>
    <w:rPr>
      <w:rFonts w:ascii="Tahoma" w:eastAsia="Times New Roman" w:hAnsi="Tahoma" w:cs="Tahoma"/>
      <w:b/>
      <w:bCs/>
      <w:color w:val="000000"/>
      <w:kern w:val="36"/>
      <w:sz w:val="34"/>
      <w:szCs w:val="34"/>
      <w:lang w:eastAsia="sk-SK"/>
    </w:rPr>
  </w:style>
  <w:style w:type="paragraph" w:styleId="Nadpis3">
    <w:name w:val="heading 3"/>
    <w:basedOn w:val="Normlny"/>
    <w:next w:val="Normlny"/>
    <w:link w:val="Nadpis3Char"/>
    <w:uiPriority w:val="9"/>
    <w:semiHidden/>
    <w:unhideWhenUsed/>
    <w:qFormat/>
    <w:rsid w:val="00EC57C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24C6E"/>
    <w:rPr>
      <w:rFonts w:ascii="Tahoma" w:eastAsia="Times New Roman" w:hAnsi="Tahoma" w:cs="Tahoma"/>
      <w:b/>
      <w:bCs/>
      <w:color w:val="000000"/>
      <w:kern w:val="36"/>
      <w:sz w:val="34"/>
      <w:szCs w:val="34"/>
      <w:lang w:eastAsia="sk-SK"/>
    </w:rPr>
  </w:style>
  <w:style w:type="character" w:styleId="Siln">
    <w:name w:val="Strong"/>
    <w:basedOn w:val="Predvolenpsmoodseku"/>
    <w:uiPriority w:val="22"/>
    <w:qFormat/>
    <w:rsid w:val="00B24C6E"/>
    <w:rPr>
      <w:b/>
      <w:bCs/>
    </w:rPr>
  </w:style>
  <w:style w:type="paragraph" w:styleId="Normlnywebov">
    <w:name w:val="Normal (Web)"/>
    <w:basedOn w:val="Normlny"/>
    <w:uiPriority w:val="99"/>
    <w:unhideWhenUsed/>
    <w:rsid w:val="00B24C6E"/>
    <w:pPr>
      <w:spacing w:before="100" w:beforeAutospacing="1" w:after="100" w:afterAutospacing="1"/>
    </w:pPr>
    <w:rPr>
      <w:rFonts w:eastAsia="Times New Roman" w:cs="Times New Roman"/>
      <w:szCs w:val="24"/>
      <w:lang w:eastAsia="sk-SK"/>
    </w:rPr>
  </w:style>
  <w:style w:type="character" w:customStyle="1" w:styleId="selectbold1">
    <w:name w:val="selectbold1"/>
    <w:basedOn w:val="Predvolenpsmoodseku"/>
    <w:rsid w:val="00B24C6E"/>
    <w:rPr>
      <w:b/>
      <w:bCs/>
      <w:color w:val="000000"/>
      <w:shd w:val="clear" w:color="auto" w:fill="FFFFFF"/>
    </w:rPr>
  </w:style>
  <w:style w:type="character" w:customStyle="1" w:styleId="Nadpis3Char">
    <w:name w:val="Nadpis 3 Char"/>
    <w:basedOn w:val="Predvolenpsmoodseku"/>
    <w:link w:val="Nadpis3"/>
    <w:uiPriority w:val="9"/>
    <w:semiHidden/>
    <w:rsid w:val="00EC57C4"/>
    <w:rPr>
      <w:rFonts w:asciiTheme="majorHAnsi" w:eastAsiaTheme="majorEastAsia" w:hAnsiTheme="majorHAnsi" w:cstheme="majorBidi"/>
      <w:color w:val="1F4D78" w:themeColor="accent1" w:themeShade="7F"/>
      <w:szCs w:val="24"/>
    </w:rPr>
  </w:style>
  <w:style w:type="paragraph" w:styleId="Textbubliny">
    <w:name w:val="Balloon Text"/>
    <w:basedOn w:val="Normlny"/>
    <w:link w:val="TextbublinyChar"/>
    <w:uiPriority w:val="99"/>
    <w:semiHidden/>
    <w:unhideWhenUsed/>
    <w:rsid w:val="00037D00"/>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54339">
      <w:bodyDiv w:val="1"/>
      <w:marLeft w:val="0"/>
      <w:marRight w:val="0"/>
      <w:marTop w:val="0"/>
      <w:marBottom w:val="0"/>
      <w:divBdr>
        <w:top w:val="none" w:sz="0" w:space="0" w:color="auto"/>
        <w:left w:val="none" w:sz="0" w:space="0" w:color="auto"/>
        <w:bottom w:val="none" w:sz="0" w:space="0" w:color="auto"/>
        <w:right w:val="none" w:sz="0" w:space="0" w:color="auto"/>
      </w:divBdr>
      <w:divsChild>
        <w:div w:id="1764229565">
          <w:marLeft w:val="0"/>
          <w:marRight w:val="0"/>
          <w:marTop w:val="100"/>
          <w:marBottom w:val="100"/>
          <w:divBdr>
            <w:top w:val="none" w:sz="0" w:space="0" w:color="auto"/>
            <w:left w:val="none" w:sz="0" w:space="0" w:color="auto"/>
            <w:bottom w:val="none" w:sz="0" w:space="0" w:color="auto"/>
            <w:right w:val="none" w:sz="0" w:space="0" w:color="auto"/>
          </w:divBdr>
          <w:divsChild>
            <w:div w:id="1885477986">
              <w:marLeft w:val="0"/>
              <w:marRight w:val="0"/>
              <w:marTop w:val="0"/>
              <w:marBottom w:val="0"/>
              <w:divBdr>
                <w:top w:val="none" w:sz="0" w:space="0" w:color="auto"/>
                <w:left w:val="none" w:sz="0" w:space="0" w:color="auto"/>
                <w:bottom w:val="none" w:sz="0" w:space="0" w:color="auto"/>
                <w:right w:val="none" w:sz="0" w:space="0" w:color="auto"/>
              </w:divBdr>
              <w:divsChild>
                <w:div w:id="853879497">
                  <w:marLeft w:val="0"/>
                  <w:marRight w:val="0"/>
                  <w:marTop w:val="0"/>
                  <w:marBottom w:val="0"/>
                  <w:divBdr>
                    <w:top w:val="none" w:sz="0" w:space="0" w:color="auto"/>
                    <w:left w:val="none" w:sz="0" w:space="0" w:color="auto"/>
                    <w:bottom w:val="none" w:sz="0" w:space="0" w:color="auto"/>
                    <w:right w:val="none" w:sz="0" w:space="0" w:color="auto"/>
                  </w:divBdr>
                  <w:divsChild>
                    <w:div w:id="1250308020">
                      <w:marLeft w:val="0"/>
                      <w:marRight w:val="0"/>
                      <w:marTop w:val="0"/>
                      <w:marBottom w:val="0"/>
                      <w:divBdr>
                        <w:top w:val="none" w:sz="0" w:space="0" w:color="auto"/>
                        <w:left w:val="none" w:sz="0" w:space="0" w:color="auto"/>
                        <w:bottom w:val="none" w:sz="0" w:space="0" w:color="auto"/>
                        <w:right w:val="none" w:sz="0" w:space="0" w:color="auto"/>
                      </w:divBdr>
                      <w:divsChild>
                        <w:div w:id="976450771">
                          <w:marLeft w:val="0"/>
                          <w:marRight w:val="0"/>
                          <w:marTop w:val="0"/>
                          <w:marBottom w:val="225"/>
                          <w:divBdr>
                            <w:top w:val="single" w:sz="6" w:space="0" w:color="336699"/>
                            <w:left w:val="single" w:sz="6" w:space="0" w:color="336699"/>
                            <w:bottom w:val="single" w:sz="6" w:space="0" w:color="336699"/>
                            <w:right w:val="single" w:sz="6" w:space="0" w:color="336699"/>
                          </w:divBdr>
                          <w:divsChild>
                            <w:div w:id="666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3765">
      <w:bodyDiv w:val="1"/>
      <w:marLeft w:val="0"/>
      <w:marRight w:val="0"/>
      <w:marTop w:val="0"/>
      <w:marBottom w:val="0"/>
      <w:divBdr>
        <w:top w:val="none" w:sz="0" w:space="0" w:color="auto"/>
        <w:left w:val="none" w:sz="0" w:space="0" w:color="auto"/>
        <w:bottom w:val="none" w:sz="0" w:space="0" w:color="auto"/>
        <w:right w:val="none" w:sz="0" w:space="0" w:color="auto"/>
      </w:divBdr>
      <w:divsChild>
        <w:div w:id="1152142761">
          <w:marLeft w:val="0"/>
          <w:marRight w:val="0"/>
          <w:marTop w:val="100"/>
          <w:marBottom w:val="100"/>
          <w:divBdr>
            <w:top w:val="none" w:sz="0" w:space="0" w:color="auto"/>
            <w:left w:val="none" w:sz="0" w:space="0" w:color="auto"/>
            <w:bottom w:val="none" w:sz="0" w:space="0" w:color="auto"/>
            <w:right w:val="none" w:sz="0" w:space="0" w:color="auto"/>
          </w:divBdr>
          <w:divsChild>
            <w:div w:id="1427532446">
              <w:marLeft w:val="0"/>
              <w:marRight w:val="0"/>
              <w:marTop w:val="0"/>
              <w:marBottom w:val="0"/>
              <w:divBdr>
                <w:top w:val="none" w:sz="0" w:space="0" w:color="auto"/>
                <w:left w:val="none" w:sz="0" w:space="0" w:color="auto"/>
                <w:bottom w:val="none" w:sz="0" w:space="0" w:color="auto"/>
                <w:right w:val="none" w:sz="0" w:space="0" w:color="auto"/>
              </w:divBdr>
              <w:divsChild>
                <w:div w:id="1763646661">
                  <w:marLeft w:val="0"/>
                  <w:marRight w:val="0"/>
                  <w:marTop w:val="0"/>
                  <w:marBottom w:val="0"/>
                  <w:divBdr>
                    <w:top w:val="none" w:sz="0" w:space="0" w:color="auto"/>
                    <w:left w:val="none" w:sz="0" w:space="0" w:color="auto"/>
                    <w:bottom w:val="none" w:sz="0" w:space="0" w:color="auto"/>
                    <w:right w:val="none" w:sz="0" w:space="0" w:color="auto"/>
                  </w:divBdr>
                  <w:divsChild>
                    <w:div w:id="20758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v.sk/sk/cestovanie_a_konzularne_info/overovanie_dokladov-vyssie_overenie_zahranicnych_verejnych_listin" TargetMode="External"/><Relationship Id="rId5" Type="http://schemas.openxmlformats.org/officeDocument/2006/relationships/hyperlink" Target="http://www.minv.sk/?osobitna-matrika&amp;subor=139505"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690</Words>
  <Characters>3933</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17</cp:revision>
  <cp:lastPrinted>2020-09-24T11:09:00Z</cp:lastPrinted>
  <dcterms:created xsi:type="dcterms:W3CDTF">2020-09-24T07:15:00Z</dcterms:created>
  <dcterms:modified xsi:type="dcterms:W3CDTF">2020-09-24T11:38:00Z</dcterms:modified>
</cp:coreProperties>
</file>