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717" w:rsidRPr="006A6C4D" w:rsidRDefault="00663717" w:rsidP="00663717">
      <w:pPr>
        <w:jc w:val="both"/>
        <w:rPr>
          <w:rFonts w:eastAsiaTheme="majorEastAsia" w:cstheme="majorBidi"/>
          <w:b/>
          <w:bCs/>
          <w:i/>
          <w:sz w:val="24"/>
          <w:szCs w:val="32"/>
        </w:rPr>
      </w:pPr>
      <w:r w:rsidRPr="006A6C4D">
        <w:rPr>
          <w:rFonts w:eastAsiaTheme="majorEastAsia" w:cstheme="majorBidi"/>
          <w:b/>
          <w:bCs/>
          <w:sz w:val="32"/>
          <w:szCs w:val="28"/>
        </w:rPr>
        <w:t xml:space="preserve">Názov podujatia: </w:t>
      </w:r>
      <w:r w:rsidR="00F25796">
        <w:rPr>
          <w:rFonts w:eastAsiaTheme="majorEastAsia" w:cstheme="majorBidi"/>
          <w:b/>
          <w:bCs/>
          <w:sz w:val="32"/>
          <w:szCs w:val="28"/>
        </w:rPr>
        <w:t>Konferencia k výstupom konzultácií k Programu Slovensko 2021- 2027</w:t>
      </w:r>
    </w:p>
    <w:p w:rsidR="00663717" w:rsidRPr="00787725" w:rsidRDefault="00663717" w:rsidP="00663717">
      <w:pPr>
        <w:jc w:val="both"/>
        <w:rPr>
          <w:b/>
          <w:sz w:val="24"/>
          <w:szCs w:val="24"/>
        </w:rPr>
      </w:pPr>
      <w:r w:rsidRPr="00787725">
        <w:rPr>
          <w:b/>
          <w:sz w:val="24"/>
          <w:szCs w:val="24"/>
        </w:rPr>
        <w:t xml:space="preserve">v rámci projektu </w:t>
      </w:r>
    </w:p>
    <w:p w:rsidR="00663717" w:rsidRPr="006A6C4D" w:rsidRDefault="00663717" w:rsidP="00663717">
      <w:pPr>
        <w:jc w:val="both"/>
        <w:rPr>
          <w:b/>
          <w:sz w:val="28"/>
          <w:szCs w:val="24"/>
        </w:rPr>
      </w:pPr>
      <w:r w:rsidRPr="006A6C4D">
        <w:rPr>
          <w:b/>
          <w:sz w:val="28"/>
          <w:szCs w:val="24"/>
        </w:rPr>
        <w:t>,,Efektívne zapojenie občianskej spoločnosti do programovania, implementácie a monitorovania EŠIF zavádzaním participatívnych postupov</w:t>
      </w:r>
      <w:r>
        <w:rPr>
          <w:b/>
          <w:sz w:val="28"/>
          <w:szCs w:val="24"/>
        </w:rPr>
        <w:t xml:space="preserve"> 2</w:t>
      </w:r>
      <w:r w:rsidRPr="006A6C4D">
        <w:rPr>
          <w:b/>
          <w:sz w:val="28"/>
          <w:szCs w:val="24"/>
        </w:rPr>
        <w:t>“</w:t>
      </w:r>
    </w:p>
    <w:p w:rsidR="00663717" w:rsidRPr="00260AA0" w:rsidRDefault="00663717" w:rsidP="00663717">
      <w:pPr>
        <w:jc w:val="both"/>
        <w:rPr>
          <w:rFonts w:cstheme="minorHAnsi"/>
          <w:sz w:val="24"/>
        </w:rPr>
      </w:pPr>
      <w:r w:rsidRPr="00260AA0">
        <w:rPr>
          <w:rFonts w:cstheme="minorHAnsi"/>
          <w:b/>
          <w:sz w:val="24"/>
        </w:rPr>
        <w:t xml:space="preserve">Dátum, čas: </w:t>
      </w:r>
      <w:r w:rsidR="00F25796">
        <w:rPr>
          <w:rFonts w:cstheme="minorHAnsi"/>
          <w:sz w:val="24"/>
        </w:rPr>
        <w:t>20.6.2022</w:t>
      </w:r>
      <w:r>
        <w:rPr>
          <w:rFonts w:cstheme="minorHAnsi"/>
          <w:sz w:val="24"/>
        </w:rPr>
        <w:t xml:space="preserve">; </w:t>
      </w:r>
      <w:r w:rsidR="00F25796">
        <w:rPr>
          <w:rFonts w:cstheme="minorHAnsi"/>
          <w:sz w:val="24"/>
        </w:rPr>
        <w:t>09</w:t>
      </w:r>
      <w:r>
        <w:rPr>
          <w:rFonts w:cstheme="minorHAnsi"/>
          <w:sz w:val="24"/>
        </w:rPr>
        <w:t>:00 – 1</w:t>
      </w:r>
      <w:r w:rsidR="00F25796">
        <w:rPr>
          <w:rFonts w:cstheme="minorHAnsi"/>
          <w:sz w:val="24"/>
        </w:rPr>
        <w:t>4</w:t>
      </w:r>
      <w:r>
        <w:rPr>
          <w:rFonts w:cstheme="minorHAnsi"/>
          <w:sz w:val="24"/>
        </w:rPr>
        <w:t>:00</w:t>
      </w:r>
      <w:r w:rsidR="00405DAD">
        <w:rPr>
          <w:rFonts w:cstheme="minorHAnsi"/>
          <w:sz w:val="24"/>
        </w:rPr>
        <w:t xml:space="preserve"> hod.</w:t>
      </w:r>
      <w:bookmarkStart w:id="0" w:name="_GoBack"/>
      <w:bookmarkEnd w:id="0"/>
    </w:p>
    <w:p w:rsidR="00663717" w:rsidRPr="00260AA0" w:rsidRDefault="00663717" w:rsidP="00663717">
      <w:pPr>
        <w:jc w:val="both"/>
        <w:rPr>
          <w:rFonts w:cstheme="minorHAnsi"/>
          <w:sz w:val="24"/>
        </w:rPr>
      </w:pPr>
      <w:r w:rsidRPr="00260AA0">
        <w:rPr>
          <w:rFonts w:cstheme="minorHAnsi"/>
          <w:b/>
          <w:sz w:val="24"/>
        </w:rPr>
        <w:t xml:space="preserve">Miesto: </w:t>
      </w:r>
      <w:r w:rsidR="00F25796">
        <w:rPr>
          <w:rFonts w:cstheme="minorHAnsi"/>
          <w:sz w:val="24"/>
        </w:rPr>
        <w:t xml:space="preserve">Bratislava, </w:t>
      </w:r>
      <w:r w:rsidR="00196A1E">
        <w:t>Výskumného ústavu vodného hospodárstva</w:t>
      </w:r>
    </w:p>
    <w:p w:rsidR="00663717" w:rsidRDefault="00663717" w:rsidP="00663717">
      <w:pPr>
        <w:jc w:val="both"/>
        <w:rPr>
          <w:b/>
          <w:sz w:val="28"/>
        </w:rPr>
      </w:pPr>
      <w:r>
        <w:rPr>
          <w:b/>
          <w:sz w:val="28"/>
        </w:rPr>
        <w:t>Zápis</w:t>
      </w:r>
    </w:p>
    <w:p w:rsidR="00196A1E" w:rsidRPr="00196A1E" w:rsidRDefault="00196A1E" w:rsidP="00196A1E">
      <w:pPr>
        <w:pStyle w:val="Normlnywebov"/>
        <w:spacing w:before="0" w:beforeAutospacing="0" w:after="0" w:afterAutospacing="0"/>
        <w:rPr>
          <w:rFonts w:eastAsiaTheme="minorHAnsi" w:cstheme="minorBidi"/>
          <w:sz w:val="22"/>
          <w:szCs w:val="22"/>
        </w:rPr>
      </w:pPr>
      <w:r>
        <w:t>Dňa 20</w:t>
      </w:r>
      <w:r w:rsidR="00663717">
        <w:t>.0</w:t>
      </w:r>
      <w:r>
        <w:t>6</w:t>
      </w:r>
      <w:r w:rsidR="00663717">
        <w:t>.2022 sa v</w:t>
      </w:r>
      <w:r>
        <w:t xml:space="preserve"> priestoroch </w:t>
      </w:r>
      <w:r>
        <w:t xml:space="preserve">Výskumného ústavu vodného hospodárstva </w:t>
      </w:r>
      <w:r>
        <w:t xml:space="preserve">v Bratislave zrealizovala </w:t>
      </w:r>
      <w:r w:rsidRPr="00196A1E">
        <w:rPr>
          <w:rFonts w:eastAsiaTheme="minorHAnsi" w:cstheme="minorBidi"/>
          <w:sz w:val="22"/>
          <w:szCs w:val="22"/>
        </w:rPr>
        <w:t>Konferencia k výstupom konzultácií k Programu Slovensko 2021- 2027</w:t>
      </w:r>
      <w:r w:rsidRPr="00196A1E">
        <w:rPr>
          <w:rFonts w:eastAsiaTheme="minorHAnsi" w:cstheme="minorBidi"/>
          <w:sz w:val="22"/>
          <w:szCs w:val="22"/>
        </w:rPr>
        <w:t>, ktorej cieľom bolo k</w:t>
      </w:r>
      <w:r w:rsidRPr="00196A1E">
        <w:rPr>
          <w:rFonts w:eastAsiaTheme="minorHAnsi" w:cstheme="minorBidi"/>
          <w:sz w:val="22"/>
          <w:szCs w:val="22"/>
        </w:rPr>
        <w:t>riticky a objektívne hodnotiť priebeh prípravy Programu Slovensko 2021-27 z hľadiska participácie z pohľadu MNO</w:t>
      </w:r>
      <w:r>
        <w:rPr>
          <w:rFonts w:eastAsiaTheme="minorHAnsi" w:cstheme="minorBidi"/>
          <w:sz w:val="22"/>
          <w:szCs w:val="22"/>
        </w:rPr>
        <w:t>.</w:t>
      </w:r>
    </w:p>
    <w:p w:rsidR="00196A1E" w:rsidRDefault="00196A1E" w:rsidP="00196A1E">
      <w:pPr>
        <w:jc w:val="both"/>
        <w:rPr>
          <w:b/>
        </w:rPr>
      </w:pPr>
    </w:p>
    <w:p w:rsidR="00196A1E" w:rsidRPr="000E6F4D" w:rsidRDefault="00196A1E" w:rsidP="00196A1E">
      <w:pPr>
        <w:jc w:val="both"/>
        <w:rPr>
          <w:b/>
        </w:rPr>
      </w:pPr>
      <w:r w:rsidRPr="000E6F4D">
        <w:rPr>
          <w:b/>
        </w:rPr>
        <w:t>Hodnotenie PSK procesu zo strany MNO</w:t>
      </w:r>
      <w:r>
        <w:rPr>
          <w:b/>
        </w:rPr>
        <w:t xml:space="preserve"> na Konferencii k výstupom konzultácií k Programu Slovensko 2021-2027</w:t>
      </w:r>
    </w:p>
    <w:p w:rsidR="00196A1E" w:rsidRDefault="00196A1E" w:rsidP="00196A1E">
      <w:pPr>
        <w:jc w:val="both"/>
      </w:pPr>
      <w:r>
        <w:t>Všeobecne bol proces prípravy PD a PSK hodnotený pozitívne, je viditeľná zmena v intenzite aj kvalite dialógu a participácie v porovnaní s prípravou obdobia 2014 – 2020. Štát aj regionálne samosprávy vytvorili procesy, ktoré umožnili aktérom zapájať sa, predkladať a komunikovať svoje požiadavky a návrhy.</w:t>
      </w:r>
    </w:p>
    <w:p w:rsidR="00196A1E" w:rsidRDefault="00196A1E" w:rsidP="00196A1E">
      <w:pPr>
        <w:jc w:val="both"/>
      </w:pPr>
      <w:r>
        <w:t>Úroveň participácie a kvalita dialógu sa kontinuálne zlepšujú, ale stále závisia vo veľkej miere na ľuďoch na ministerstvách. Zatiaľ chýbajú štandardné procesy a postupy.</w:t>
      </w:r>
    </w:p>
    <w:p w:rsidR="00196A1E" w:rsidRPr="000E6F4D" w:rsidRDefault="00196A1E" w:rsidP="00196A1E">
      <w:pPr>
        <w:jc w:val="both"/>
        <w:rPr>
          <w:b/>
          <w:u w:val="single"/>
        </w:rPr>
      </w:pPr>
      <w:r w:rsidRPr="000E6F4D">
        <w:rPr>
          <w:b/>
          <w:u w:val="single"/>
        </w:rPr>
        <w:t>Hodnotenie procesu</w:t>
      </w:r>
    </w:p>
    <w:p w:rsidR="00196A1E" w:rsidRDefault="00196A1E" w:rsidP="00196A1E">
      <w:pPr>
        <w:jc w:val="both"/>
      </w:pPr>
      <w:r>
        <w:t>Veľmi dlhý proces náročný na sledovanie, napriek tomu veľké prestoje verzus krátke, na aktivitu intenzívne obdobia. Prestoje v období programovania neboli využité na koncepčnú a analytickú prácu, v týchto obdobiach štát minimálne komunikoval partnerom pokrok. Proces prípravy PD a PSK tak pôsobí nekonzistentne, prerušovane.</w:t>
      </w:r>
    </w:p>
    <w:p w:rsidR="00196A1E" w:rsidRDefault="00196A1E" w:rsidP="00196A1E">
      <w:pPr>
        <w:jc w:val="both"/>
      </w:pPr>
      <w:r>
        <w:t xml:space="preserve">Aj z hľadiska povedomia a udržania si vnímania vlastníctva dokumentu a účasti na procese je zásadné informovať a zapájať partnerov. Možnosti hraničia od </w:t>
      </w:r>
      <w:proofErr w:type="spellStart"/>
      <w:r>
        <w:t>newslettera</w:t>
      </w:r>
      <w:proofErr w:type="spellEnd"/>
      <w:r>
        <w:t>, až po expertné workshopy, konferencie k témam relevantným pre PD a PSK. Dobrým príkladom je oblasť prípravy základných podmienok, prípravy metodiky indikátorov, hodnotenie výkonnosti vybraných častí a procesov dobiehajúceho programového obdobia.</w:t>
      </w:r>
    </w:p>
    <w:p w:rsidR="00196A1E" w:rsidRDefault="00196A1E" w:rsidP="00196A1E">
      <w:pPr>
        <w:jc w:val="both"/>
      </w:pPr>
      <w:r>
        <w:t>Pozitívne hodnotenie výslednej podoby textov PSK a miery zohľadnenia priorít MNO. Pozitívne hodnotenie zmien textu PSK po návrhoch MNO.</w:t>
      </w:r>
    </w:p>
    <w:p w:rsidR="00196A1E" w:rsidRPr="000E6F4D" w:rsidRDefault="00196A1E" w:rsidP="00196A1E">
      <w:pPr>
        <w:jc w:val="both"/>
        <w:rPr>
          <w:b/>
          <w:u w:val="single"/>
        </w:rPr>
      </w:pPr>
      <w:r w:rsidRPr="000E6F4D">
        <w:rPr>
          <w:b/>
          <w:u w:val="single"/>
        </w:rPr>
        <w:t>Čo chýbalo, čo nefungovalo?</w:t>
      </w:r>
    </w:p>
    <w:p w:rsidR="00196A1E" w:rsidRDefault="00196A1E" w:rsidP="00196A1E">
      <w:pPr>
        <w:jc w:val="both"/>
      </w:pPr>
      <w:r>
        <w:lastRenderedPageBreak/>
        <w:t>Z pohľadu MNO absentoval harmonogram procesu, čo znižovalo predvídateľnosť procesu a plánovanie kapacít MNO pre účasť na programovaní.</w:t>
      </w:r>
    </w:p>
    <w:p w:rsidR="00196A1E" w:rsidRDefault="00196A1E" w:rsidP="00196A1E">
      <w:pPr>
        <w:jc w:val="both"/>
      </w:pPr>
      <w:r>
        <w:t>Chýbal výraznejší dialóg k synergiám a prepojenia medzi politikami EÚ, predovšetkým s NPOO.</w:t>
      </w:r>
    </w:p>
    <w:p w:rsidR="00196A1E" w:rsidRDefault="00196A1E" w:rsidP="00196A1E">
      <w:pPr>
        <w:jc w:val="both"/>
      </w:pPr>
      <w:r>
        <w:t xml:space="preserve">Negatívne bola hodnotená absencia partnerského dialógu k deleniu alokácií a o investičných potrebách. </w:t>
      </w:r>
    </w:p>
    <w:p w:rsidR="00196A1E" w:rsidRDefault="00196A1E" w:rsidP="00196A1E">
      <w:pPr>
        <w:jc w:val="both"/>
      </w:pPr>
      <w:r>
        <w:t xml:space="preserve">Rovnako málo boli diskutované výsledková orientácia, ukazovatele, metodika ich </w:t>
      </w:r>
      <w:proofErr w:type="spellStart"/>
      <w:r>
        <w:t>odpočtovania</w:t>
      </w:r>
      <w:proofErr w:type="spellEnd"/>
      <w:r>
        <w:t>, cieľové hodnoty a </w:t>
      </w:r>
      <w:proofErr w:type="spellStart"/>
      <w:r>
        <w:t>benchmarky</w:t>
      </w:r>
      <w:proofErr w:type="spellEnd"/>
      <w:r>
        <w:t xml:space="preserve"> pre ich stanovovanie. Jedinou výnimkou bol cieľ 4 a ukazovatele pre ESF+.</w:t>
      </w:r>
    </w:p>
    <w:p w:rsidR="00196A1E" w:rsidRDefault="00196A1E" w:rsidP="00196A1E">
      <w:pPr>
        <w:jc w:val="both"/>
      </w:pPr>
      <w:r>
        <w:t>Na regionálnej úrovni prevládala veľká neprehľadnosť a premenlivosť podmienok, menili sa procesy aj ich parametre a požadované výstupy. To vytváralo neistotu a zvyšovalo nedôveru. Miera zapájania sa znižuje.</w:t>
      </w:r>
    </w:p>
    <w:p w:rsidR="00196A1E" w:rsidRDefault="00196A1E" w:rsidP="00196A1E">
      <w:pPr>
        <w:jc w:val="both"/>
      </w:pPr>
      <w:r>
        <w:t>Problémy sú predovšetkým na úrovni národných strategických dokumentov. Mnohé chýbajú alebo sú neaktuálne. Bežia nekoordinované paralelné procesy.</w:t>
      </w:r>
    </w:p>
    <w:p w:rsidR="00196A1E" w:rsidRPr="000E6F4D" w:rsidRDefault="00196A1E" w:rsidP="00196A1E">
      <w:pPr>
        <w:jc w:val="both"/>
        <w:rPr>
          <w:b/>
          <w:u w:val="single"/>
        </w:rPr>
      </w:pPr>
      <w:r w:rsidRPr="000E6F4D">
        <w:rPr>
          <w:b/>
          <w:u w:val="single"/>
        </w:rPr>
        <w:t>Čo MNO vyzdvihli?</w:t>
      </w:r>
    </w:p>
    <w:p w:rsidR="00196A1E" w:rsidRDefault="00196A1E" w:rsidP="00196A1E">
      <w:pPr>
        <w:jc w:val="both"/>
      </w:pPr>
      <w:r>
        <w:t xml:space="preserve">Pozitívne hodnotenie procesu konzultácií ÚSV ROS, MPSVR, MŠVVaŠ k cieľu 4. Veľmi pozitívne bol hodnotený online </w:t>
      </w:r>
      <w:proofErr w:type="spellStart"/>
      <w:r>
        <w:t>editing</w:t>
      </w:r>
      <w:proofErr w:type="spellEnd"/>
      <w:r>
        <w:t xml:space="preserve"> a komentovanie textov PSK.</w:t>
      </w:r>
    </w:p>
    <w:p w:rsidR="00196A1E" w:rsidRDefault="00196A1E" w:rsidP="00196A1E">
      <w:pPr>
        <w:jc w:val="both"/>
      </w:pPr>
      <w:r>
        <w:t>Základná je kvalita priestoru počas konzultácií. Početnosť stretnutí a možností zúčastniť sa bola vysoká, kvalita priestoru pre dialóg nebola vždy dostatočná. Predovšetkým veľké stretnutia a zasadnutia oficiálnych skupín, rokovania s EK a zasadnutia Rád majú vysokú mieru formálnosti s minimom dialógu.</w:t>
      </w:r>
    </w:p>
    <w:p w:rsidR="00196A1E" w:rsidRPr="000E6F4D" w:rsidRDefault="00196A1E" w:rsidP="00196A1E">
      <w:pPr>
        <w:jc w:val="both"/>
        <w:rPr>
          <w:b/>
          <w:u w:val="single"/>
        </w:rPr>
      </w:pPr>
      <w:r w:rsidRPr="000E6F4D">
        <w:rPr>
          <w:b/>
          <w:u w:val="single"/>
        </w:rPr>
        <w:t>Akým problémom čelia MNO?</w:t>
      </w:r>
    </w:p>
    <w:p w:rsidR="00196A1E" w:rsidRDefault="00196A1E" w:rsidP="00196A1E">
      <w:pPr>
        <w:jc w:val="both"/>
      </w:pPr>
      <w:r>
        <w:t>Problémom sú kapacity MNO, ktoré pri takto náročných procesoch nestíhajú reagovať adekvátne na všetky čiastkové procesy.</w:t>
      </w:r>
    </w:p>
    <w:p w:rsidR="00196A1E" w:rsidRDefault="00196A1E" w:rsidP="00196A1E">
      <w:pPr>
        <w:jc w:val="both"/>
      </w:pPr>
      <w:r>
        <w:t>Chýbajú informácie a vedomosti o všetkých aspektoch politiky súdržnosti a o ich prepojeniach.</w:t>
      </w:r>
    </w:p>
    <w:p w:rsidR="00196A1E" w:rsidRDefault="00196A1E" w:rsidP="00196A1E">
      <w:pPr>
        <w:jc w:val="both"/>
      </w:pPr>
    </w:p>
    <w:p w:rsidR="00196A1E" w:rsidRDefault="00196A1E" w:rsidP="00196A1E">
      <w:pPr>
        <w:jc w:val="both"/>
      </w:pPr>
    </w:p>
    <w:p w:rsidR="00196A1E" w:rsidRDefault="00196A1E" w:rsidP="00196A1E">
      <w:pPr>
        <w:jc w:val="both"/>
      </w:pPr>
    </w:p>
    <w:p w:rsidR="00196A1E" w:rsidRDefault="00196A1E" w:rsidP="00663717">
      <w:pPr>
        <w:jc w:val="both"/>
      </w:pPr>
    </w:p>
    <w:p w:rsidR="00196A1E" w:rsidRPr="00196A1E" w:rsidRDefault="00196A1E" w:rsidP="00196A1E">
      <w:pPr>
        <w:pStyle w:val="Normlnywebov"/>
        <w:spacing w:before="0" w:beforeAutospacing="0" w:after="0" w:afterAutospacing="0"/>
        <w:rPr>
          <w:rFonts w:eastAsiaTheme="minorHAnsi" w:cstheme="minorBidi"/>
          <w:sz w:val="22"/>
          <w:szCs w:val="22"/>
        </w:rPr>
      </w:pPr>
      <w:r w:rsidRPr="00196A1E">
        <w:rPr>
          <w:rFonts w:eastAsiaTheme="minorHAnsi" w:cstheme="minorBidi"/>
          <w:sz w:val="22"/>
          <w:szCs w:val="22"/>
        </w:rPr>
        <w:t>Zapísal: Lenka Babicová a Miroslav Mojžiš</w:t>
      </w:r>
    </w:p>
    <w:p w:rsidR="00196A1E" w:rsidRDefault="00196A1E" w:rsidP="00196A1E">
      <w:pPr>
        <w:pStyle w:val="Normlnywebov"/>
        <w:spacing w:before="0" w:beforeAutospacing="0" w:after="0" w:afterAutospacing="0"/>
        <w:rPr>
          <w:rFonts w:eastAsiaTheme="minorHAnsi" w:cstheme="minorBidi"/>
          <w:sz w:val="22"/>
          <w:szCs w:val="22"/>
        </w:rPr>
      </w:pPr>
    </w:p>
    <w:p w:rsidR="00663717" w:rsidRPr="00196A1E" w:rsidRDefault="00196A1E" w:rsidP="00196A1E">
      <w:pPr>
        <w:pStyle w:val="Normlnywebov"/>
        <w:spacing w:before="0" w:beforeAutospacing="0" w:after="0" w:afterAutospacing="0"/>
        <w:rPr>
          <w:rFonts w:eastAsiaTheme="minorHAnsi" w:cstheme="minorBidi"/>
          <w:sz w:val="22"/>
          <w:szCs w:val="22"/>
        </w:rPr>
      </w:pPr>
      <w:r w:rsidRPr="00196A1E">
        <w:rPr>
          <w:rFonts w:eastAsiaTheme="minorHAnsi" w:cstheme="minorBidi"/>
          <w:sz w:val="22"/>
          <w:szCs w:val="22"/>
        </w:rPr>
        <w:t>Dátum: 20</w:t>
      </w:r>
      <w:r w:rsidR="00663717" w:rsidRPr="00196A1E">
        <w:rPr>
          <w:rFonts w:eastAsiaTheme="minorHAnsi" w:cstheme="minorBidi"/>
          <w:sz w:val="22"/>
          <w:szCs w:val="22"/>
        </w:rPr>
        <w:t>.0</w:t>
      </w:r>
      <w:r w:rsidRPr="00196A1E">
        <w:rPr>
          <w:rFonts w:eastAsiaTheme="minorHAnsi" w:cstheme="minorBidi"/>
          <w:sz w:val="22"/>
          <w:szCs w:val="22"/>
        </w:rPr>
        <w:t>6</w:t>
      </w:r>
      <w:r w:rsidR="00663717" w:rsidRPr="00196A1E">
        <w:rPr>
          <w:rFonts w:eastAsiaTheme="minorHAnsi" w:cstheme="minorBidi"/>
          <w:sz w:val="22"/>
          <w:szCs w:val="22"/>
        </w:rPr>
        <w:t>.2022</w:t>
      </w:r>
    </w:p>
    <w:p w:rsidR="00A374E5" w:rsidRDefault="00D160DA"/>
    <w:sectPr w:rsidR="00A374E5" w:rsidSect="007F4CE8">
      <w:headerReference w:type="default" r:id="rId7"/>
      <w:footerReference w:type="default" r:id="rId8"/>
      <w:pgSz w:w="11906" w:h="16838"/>
      <w:pgMar w:top="568" w:right="1417" w:bottom="851" w:left="1417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0DA" w:rsidRDefault="00D160DA">
      <w:pPr>
        <w:spacing w:after="0" w:line="240" w:lineRule="auto"/>
      </w:pPr>
      <w:r>
        <w:separator/>
      </w:r>
    </w:p>
  </w:endnote>
  <w:endnote w:type="continuationSeparator" w:id="0">
    <w:p w:rsidR="00D160DA" w:rsidRDefault="00D16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3FD" w:rsidRDefault="00D160DA" w:rsidP="0095281B">
    <w:pPr>
      <w:jc w:val="both"/>
      <w:rPr>
        <w:sz w:val="20"/>
      </w:rPr>
    </w:pPr>
  </w:p>
  <w:p w:rsidR="008A03FD" w:rsidRPr="00FE2910" w:rsidRDefault="00F26DA2" w:rsidP="007F4CE8">
    <w:pPr>
      <w:spacing w:after="0"/>
      <w:jc w:val="both"/>
      <w:rPr>
        <w:sz w:val="20"/>
      </w:rPr>
    </w:pPr>
    <w:r w:rsidRPr="00FE2910">
      <w:rPr>
        <w:sz w:val="20"/>
      </w:rPr>
      <w:t xml:space="preserve">Projekt </w:t>
    </w:r>
    <w:r w:rsidRPr="00FE2910">
      <w:rPr>
        <w:i/>
        <w:sz w:val="20"/>
      </w:rPr>
      <w:t>,,Efektívne zapojenie občianskej spoločnosti do programovania, implementácie a monitorovania EŠIF zavádzaním participatívnych postupov 2“</w:t>
    </w:r>
    <w:r w:rsidRPr="00FE2910">
      <w:rPr>
        <w:sz w:val="20"/>
      </w:rPr>
      <w:t xml:space="preserve"> je spolufinancovaný Európskou úniou z prostriedkov operačného programu Technická pomoc 2014 – 2020, ktorý bol podporený z Európskeho fondu regionálneho rozvoja.</w:t>
    </w:r>
  </w:p>
  <w:p w:rsidR="008A03FD" w:rsidRDefault="00F26DA2" w:rsidP="00E77CCB">
    <w:pPr>
      <w:pStyle w:val="Pta"/>
      <w:tabs>
        <w:tab w:val="clear" w:pos="4536"/>
        <w:tab w:val="clear" w:pos="9072"/>
        <w:tab w:val="left" w:pos="334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0DA" w:rsidRDefault="00D160DA">
      <w:pPr>
        <w:spacing w:after="0" w:line="240" w:lineRule="auto"/>
      </w:pPr>
      <w:r>
        <w:separator/>
      </w:r>
    </w:p>
  </w:footnote>
  <w:footnote w:type="continuationSeparator" w:id="0">
    <w:p w:rsidR="00D160DA" w:rsidRDefault="00D16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E54" w:rsidRDefault="00F26DA2" w:rsidP="00532E54">
    <w:pPr>
      <w:spacing w:after="0"/>
      <w:ind w:left="-709"/>
      <w:jc w:val="right"/>
      <w:rPr>
        <w:b/>
      </w:rPr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63855713" wp14:editId="0D6A4D72">
          <wp:simplePos x="0" y="0"/>
          <wp:positionH relativeFrom="column">
            <wp:posOffset>4205605</wp:posOffset>
          </wp:positionH>
          <wp:positionV relativeFrom="paragraph">
            <wp:posOffset>108585</wp:posOffset>
          </wp:positionV>
          <wp:extent cx="1862455" cy="395605"/>
          <wp:effectExtent l="0" t="0" r="4445" b="4445"/>
          <wp:wrapThrough wrapText="bothSides">
            <wp:wrapPolygon edited="0">
              <wp:start x="0" y="0"/>
              <wp:lineTo x="0" y="20803"/>
              <wp:lineTo x="21431" y="20803"/>
              <wp:lineTo x="21431" y="0"/>
              <wp:lineTo x="0" y="0"/>
            </wp:wrapPolygon>
          </wp:wrapThrough>
          <wp:docPr id="13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2455" cy="395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60288" behindDoc="0" locked="0" layoutInCell="1" allowOverlap="1" wp14:anchorId="4229C436" wp14:editId="5759357D">
          <wp:simplePos x="0" y="0"/>
          <wp:positionH relativeFrom="column">
            <wp:posOffset>2395855</wp:posOffset>
          </wp:positionH>
          <wp:positionV relativeFrom="paragraph">
            <wp:posOffset>125730</wp:posOffset>
          </wp:positionV>
          <wp:extent cx="1568450" cy="359410"/>
          <wp:effectExtent l="0" t="0" r="0" b="2540"/>
          <wp:wrapThrough wrapText="bothSides">
            <wp:wrapPolygon edited="0">
              <wp:start x="0" y="0"/>
              <wp:lineTo x="0" y="20608"/>
              <wp:lineTo x="21250" y="20608"/>
              <wp:lineTo x="21250" y="0"/>
              <wp:lineTo x="0" y="0"/>
            </wp:wrapPolygon>
          </wp:wrapThrough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845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 xml:space="preserve">                                                                        </w:t>
    </w:r>
    <w:r>
      <w:rPr>
        <w:noProof/>
        <w:lang w:eastAsia="sk-SK"/>
      </w:rPr>
      <w:drawing>
        <wp:anchor distT="0" distB="0" distL="114300" distR="114300" simplePos="0" relativeHeight="251662336" behindDoc="0" locked="0" layoutInCell="1" allowOverlap="1" wp14:anchorId="1465EF81" wp14:editId="25A1DB57">
          <wp:simplePos x="0" y="0"/>
          <wp:positionH relativeFrom="column">
            <wp:posOffset>829945</wp:posOffset>
          </wp:positionH>
          <wp:positionV relativeFrom="paragraph">
            <wp:posOffset>3810</wp:posOffset>
          </wp:positionV>
          <wp:extent cx="1402715" cy="647700"/>
          <wp:effectExtent l="0" t="0" r="6985" b="0"/>
          <wp:wrapTight wrapText="bothSides">
            <wp:wrapPolygon edited="0">
              <wp:start x="0" y="0"/>
              <wp:lineTo x="0" y="20965"/>
              <wp:lineTo x="21414" y="20965"/>
              <wp:lineTo x="21414" y="0"/>
              <wp:lineTo x="0" y="0"/>
            </wp:wrapPolygon>
          </wp:wrapTight>
          <wp:docPr id="15" name="Obrázo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71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61312" behindDoc="0" locked="0" layoutInCell="1" allowOverlap="1" wp14:anchorId="4D686A47" wp14:editId="39C1FF2F">
          <wp:simplePos x="0" y="0"/>
          <wp:positionH relativeFrom="column">
            <wp:posOffset>-509270</wp:posOffset>
          </wp:positionH>
          <wp:positionV relativeFrom="paragraph">
            <wp:posOffset>10795</wp:posOffset>
          </wp:positionV>
          <wp:extent cx="1095375" cy="720090"/>
          <wp:effectExtent l="0" t="0" r="9525" b="3810"/>
          <wp:wrapSquare wrapText="bothSides"/>
          <wp:docPr id="16" name="Obrázo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32E54" w:rsidRDefault="00D160DA" w:rsidP="00532E54">
    <w:pPr>
      <w:spacing w:after="0"/>
      <w:rPr>
        <w:b/>
      </w:rPr>
    </w:pPr>
  </w:p>
  <w:p w:rsidR="00532E54" w:rsidRDefault="00F26DA2" w:rsidP="00532E54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7725"/>
      </w:tabs>
      <w:spacing w:after="0"/>
      <w:ind w:left="-709"/>
      <w:rPr>
        <w:b/>
      </w:rPr>
    </w:pPr>
    <w:r>
      <w:rPr>
        <w:b/>
      </w:rPr>
      <w:t>EURÓPSKA ÚNIA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</w:p>
  <w:p w:rsidR="008A03FD" w:rsidRPr="00532E54" w:rsidRDefault="00F26DA2" w:rsidP="00532E54">
    <w:pPr>
      <w:spacing w:after="240"/>
      <w:ind w:left="-709"/>
      <w:rPr>
        <w:b/>
      </w:rPr>
    </w:pPr>
    <w:r>
      <w:rPr>
        <w:b/>
      </w:rPr>
      <w:t>Európsky fond regionálneho rozvoja</w:t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50A1B"/>
    <w:multiLevelType w:val="hybridMultilevel"/>
    <w:tmpl w:val="B5E0E0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947F0"/>
    <w:multiLevelType w:val="hybridMultilevel"/>
    <w:tmpl w:val="E7C2AF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67D4B"/>
    <w:multiLevelType w:val="hybridMultilevel"/>
    <w:tmpl w:val="0D0A80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B2BA9"/>
    <w:multiLevelType w:val="hybridMultilevel"/>
    <w:tmpl w:val="EE5A8E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15136"/>
    <w:multiLevelType w:val="hybridMultilevel"/>
    <w:tmpl w:val="0B96F4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A7644"/>
    <w:multiLevelType w:val="hybridMultilevel"/>
    <w:tmpl w:val="E6F6F8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952A3"/>
    <w:multiLevelType w:val="hybridMultilevel"/>
    <w:tmpl w:val="DA3493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640BB"/>
    <w:multiLevelType w:val="hybridMultilevel"/>
    <w:tmpl w:val="AA0C1F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DE7010"/>
    <w:multiLevelType w:val="hybridMultilevel"/>
    <w:tmpl w:val="C9BA6D86"/>
    <w:lvl w:ilvl="0" w:tplc="757CB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622621"/>
    <w:multiLevelType w:val="hybridMultilevel"/>
    <w:tmpl w:val="0BBEBB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640C23"/>
    <w:multiLevelType w:val="hybridMultilevel"/>
    <w:tmpl w:val="96D260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0"/>
  </w:num>
  <w:num w:numId="9">
    <w:abstractNumId w:val="1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717"/>
    <w:rsid w:val="000354B3"/>
    <w:rsid w:val="00105A40"/>
    <w:rsid w:val="00196A1E"/>
    <w:rsid w:val="00346BC9"/>
    <w:rsid w:val="003739F0"/>
    <w:rsid w:val="00375ADC"/>
    <w:rsid w:val="003C1D95"/>
    <w:rsid w:val="00405DAD"/>
    <w:rsid w:val="00427260"/>
    <w:rsid w:val="005F7DE2"/>
    <w:rsid w:val="00663717"/>
    <w:rsid w:val="006C1A44"/>
    <w:rsid w:val="008D33B1"/>
    <w:rsid w:val="009679D7"/>
    <w:rsid w:val="009E6269"/>
    <w:rsid w:val="00B263FD"/>
    <w:rsid w:val="00B74187"/>
    <w:rsid w:val="00B87EC3"/>
    <w:rsid w:val="00C00875"/>
    <w:rsid w:val="00C02209"/>
    <w:rsid w:val="00C819DF"/>
    <w:rsid w:val="00D160DA"/>
    <w:rsid w:val="00E36849"/>
    <w:rsid w:val="00F25796"/>
    <w:rsid w:val="00F26DA2"/>
    <w:rsid w:val="00F5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AD1E6"/>
  <w15:chartTrackingRefBased/>
  <w15:docId w15:val="{9B404068-663A-4DDA-9AFE-82E7A599A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6371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663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63717"/>
  </w:style>
  <w:style w:type="paragraph" w:styleId="Odsekzoznamu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lny"/>
    <w:link w:val="OdsekzoznamuChar"/>
    <w:uiPriority w:val="34"/>
    <w:qFormat/>
    <w:rsid w:val="00663717"/>
    <w:pPr>
      <w:ind w:left="720"/>
      <w:contextualSpacing/>
    </w:pPr>
  </w:style>
  <w:style w:type="character" w:customStyle="1" w:styleId="OdsekzoznamuChar">
    <w:name w:val="Odsek zoznamu Char"/>
    <w:aliases w:val="List Paragraph compact Char,Normal bullet 2 Char,Paragraphe de liste 2 Char,Reference list Char,Bullet list Char,Numbered List Char,List Paragraph1 Char,1st level - Bullet List Paragraph Char,Lettre d'introduction Char,Paragraph Char"/>
    <w:link w:val="Odsekzoznamu"/>
    <w:uiPriority w:val="34"/>
    <w:qFormat/>
    <w:locked/>
    <w:rsid w:val="00663717"/>
  </w:style>
  <w:style w:type="paragraph" w:styleId="Normlnywebov">
    <w:name w:val="Normal (Web)"/>
    <w:basedOn w:val="Normlny"/>
    <w:uiPriority w:val="99"/>
    <w:semiHidden/>
    <w:unhideWhenUsed/>
    <w:rsid w:val="00196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1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PTP Partnerstvo (Barbora Dúbravová)</dc:creator>
  <cp:keywords/>
  <dc:description/>
  <cp:lastModifiedBy>Lenka Babicová</cp:lastModifiedBy>
  <cp:revision>3</cp:revision>
  <dcterms:created xsi:type="dcterms:W3CDTF">2022-06-30T10:33:00Z</dcterms:created>
  <dcterms:modified xsi:type="dcterms:W3CDTF">2022-06-30T10:33:00Z</dcterms:modified>
</cp:coreProperties>
</file>