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17" w:rsidRPr="006A6C4D" w:rsidRDefault="00663717" w:rsidP="00663717">
      <w:pPr>
        <w:jc w:val="both"/>
        <w:rPr>
          <w:rFonts w:eastAsiaTheme="majorEastAsia" w:cstheme="majorBidi"/>
          <w:b/>
          <w:bCs/>
          <w:i/>
          <w:sz w:val="24"/>
          <w:szCs w:val="32"/>
        </w:rPr>
      </w:pPr>
      <w:r w:rsidRPr="006A6C4D">
        <w:rPr>
          <w:rFonts w:eastAsiaTheme="majorEastAsia" w:cstheme="majorBidi"/>
          <w:b/>
          <w:bCs/>
          <w:sz w:val="32"/>
          <w:szCs w:val="28"/>
        </w:rPr>
        <w:t xml:space="preserve">Názov podujatia: </w:t>
      </w:r>
      <w:r w:rsidR="00DF6F23">
        <w:rPr>
          <w:rFonts w:eastAsiaTheme="majorEastAsia" w:cstheme="majorBidi"/>
          <w:b/>
          <w:bCs/>
          <w:sz w:val="32"/>
          <w:szCs w:val="28"/>
        </w:rPr>
        <w:t>Workshop „Ako môže byť sektor MNO efektívny partner“</w:t>
      </w:r>
    </w:p>
    <w:p w:rsidR="00663717" w:rsidRPr="00787725" w:rsidRDefault="00663717" w:rsidP="00663717">
      <w:pPr>
        <w:jc w:val="both"/>
        <w:rPr>
          <w:b/>
          <w:sz w:val="24"/>
          <w:szCs w:val="24"/>
        </w:rPr>
      </w:pPr>
      <w:r w:rsidRPr="00787725">
        <w:rPr>
          <w:b/>
          <w:sz w:val="24"/>
          <w:szCs w:val="24"/>
        </w:rPr>
        <w:t xml:space="preserve">v rámci projektu </w:t>
      </w:r>
    </w:p>
    <w:p w:rsidR="00663717" w:rsidRPr="006A6C4D" w:rsidRDefault="00663717" w:rsidP="00663717">
      <w:pPr>
        <w:jc w:val="both"/>
        <w:rPr>
          <w:b/>
          <w:sz w:val="28"/>
          <w:szCs w:val="24"/>
        </w:rPr>
      </w:pPr>
      <w:r w:rsidRPr="006A6C4D">
        <w:rPr>
          <w:b/>
          <w:sz w:val="28"/>
          <w:szCs w:val="24"/>
        </w:rPr>
        <w:t>,,Efektívne zapojenie občianskej spoločnosti do programovania, implementácie a monitorovania EŠIF zavádzaním participatívnych postupov</w:t>
      </w:r>
      <w:r>
        <w:rPr>
          <w:b/>
          <w:sz w:val="28"/>
          <w:szCs w:val="24"/>
        </w:rPr>
        <w:t xml:space="preserve"> 2</w:t>
      </w:r>
      <w:r w:rsidRPr="006A6C4D">
        <w:rPr>
          <w:b/>
          <w:sz w:val="28"/>
          <w:szCs w:val="24"/>
        </w:rPr>
        <w:t>“</w:t>
      </w:r>
    </w:p>
    <w:p w:rsidR="00663717" w:rsidRPr="00260AA0" w:rsidRDefault="00663717" w:rsidP="00663717">
      <w:pPr>
        <w:jc w:val="both"/>
        <w:rPr>
          <w:rFonts w:cstheme="minorHAnsi"/>
          <w:sz w:val="24"/>
        </w:rPr>
      </w:pPr>
      <w:r w:rsidRPr="00260AA0">
        <w:rPr>
          <w:rFonts w:cstheme="minorHAnsi"/>
          <w:b/>
          <w:sz w:val="24"/>
        </w:rPr>
        <w:t xml:space="preserve">Dátum, čas: </w:t>
      </w:r>
      <w:r w:rsidR="00F25796">
        <w:rPr>
          <w:rFonts w:cstheme="minorHAnsi"/>
          <w:sz w:val="24"/>
        </w:rPr>
        <w:t>2</w:t>
      </w:r>
      <w:r w:rsidR="00DF6F23">
        <w:rPr>
          <w:rFonts w:cstheme="minorHAnsi"/>
          <w:sz w:val="24"/>
        </w:rPr>
        <w:t>1</w:t>
      </w:r>
      <w:r w:rsidR="00F25796">
        <w:rPr>
          <w:rFonts w:cstheme="minorHAnsi"/>
          <w:sz w:val="24"/>
        </w:rPr>
        <w:t>.6.2022</w:t>
      </w:r>
      <w:r>
        <w:rPr>
          <w:rFonts w:cstheme="minorHAnsi"/>
          <w:sz w:val="24"/>
        </w:rPr>
        <w:t xml:space="preserve">; </w:t>
      </w:r>
      <w:r w:rsidR="00F25796">
        <w:rPr>
          <w:rFonts w:cstheme="minorHAnsi"/>
          <w:sz w:val="24"/>
        </w:rPr>
        <w:t>09</w:t>
      </w:r>
      <w:r>
        <w:rPr>
          <w:rFonts w:cstheme="minorHAnsi"/>
          <w:sz w:val="24"/>
        </w:rPr>
        <w:t>:00 – 1</w:t>
      </w:r>
      <w:r w:rsidR="00F25796">
        <w:rPr>
          <w:rFonts w:cstheme="minorHAnsi"/>
          <w:sz w:val="24"/>
        </w:rPr>
        <w:t>4</w:t>
      </w:r>
      <w:r>
        <w:rPr>
          <w:rFonts w:cstheme="minorHAnsi"/>
          <w:sz w:val="24"/>
        </w:rPr>
        <w:t>:00</w:t>
      </w:r>
      <w:r w:rsidR="00405DAD">
        <w:rPr>
          <w:rFonts w:cstheme="minorHAnsi"/>
          <w:sz w:val="24"/>
        </w:rPr>
        <w:t xml:space="preserve"> hod.</w:t>
      </w:r>
    </w:p>
    <w:p w:rsidR="00663717" w:rsidRPr="00260AA0" w:rsidRDefault="00663717" w:rsidP="00663717">
      <w:pPr>
        <w:jc w:val="both"/>
        <w:rPr>
          <w:rFonts w:cstheme="minorHAnsi"/>
          <w:sz w:val="24"/>
        </w:rPr>
      </w:pPr>
      <w:r w:rsidRPr="00260AA0">
        <w:rPr>
          <w:rFonts w:cstheme="minorHAnsi"/>
          <w:b/>
          <w:sz w:val="24"/>
        </w:rPr>
        <w:t xml:space="preserve">Miesto: </w:t>
      </w:r>
      <w:r w:rsidR="00F25796">
        <w:rPr>
          <w:rFonts w:cstheme="minorHAnsi"/>
          <w:sz w:val="24"/>
        </w:rPr>
        <w:t xml:space="preserve">Bratislava, </w:t>
      </w:r>
      <w:r w:rsidR="005129BF">
        <w:t>Výskumnéhý</w:t>
      </w:r>
      <w:bookmarkStart w:id="0" w:name="_GoBack"/>
      <w:bookmarkEnd w:id="0"/>
      <w:r w:rsidR="00196A1E">
        <w:t xml:space="preserve"> ústavu vodného hospodárstva</w:t>
      </w:r>
    </w:p>
    <w:p w:rsidR="00663717" w:rsidRDefault="00663717" w:rsidP="00663717">
      <w:pPr>
        <w:jc w:val="both"/>
        <w:rPr>
          <w:b/>
          <w:sz w:val="28"/>
        </w:rPr>
      </w:pPr>
      <w:r>
        <w:rPr>
          <w:b/>
          <w:sz w:val="28"/>
        </w:rPr>
        <w:t>Zápis</w:t>
      </w:r>
    </w:p>
    <w:p w:rsidR="00DF6F23" w:rsidRDefault="00DF6F23" w:rsidP="00DF6F23">
      <w:pPr>
        <w:jc w:val="both"/>
      </w:pPr>
      <w:r>
        <w:t>Dňa 21</w:t>
      </w:r>
      <w:r w:rsidR="00663717">
        <w:t>.0</w:t>
      </w:r>
      <w:r w:rsidR="00196A1E">
        <w:t>6</w:t>
      </w:r>
      <w:r w:rsidR="00663717">
        <w:t>.2022 sa v</w:t>
      </w:r>
      <w:r w:rsidR="00196A1E">
        <w:t xml:space="preserve"> priestoroch Výskumného ústavu vodného hospodárstva v Bratislave zrealizovala </w:t>
      </w:r>
      <w:r>
        <w:t xml:space="preserve">workshop s názvom </w:t>
      </w:r>
      <w:r w:rsidRPr="00DF6F23">
        <w:t>„Ako môže byť sektor MNO efektívny partner“</w:t>
      </w:r>
      <w:r>
        <w:t xml:space="preserve"> </w:t>
      </w:r>
      <w:r w:rsidR="00196A1E" w:rsidRPr="00196A1E">
        <w:t>, ktor</w:t>
      </w:r>
      <w:r>
        <w:t>ého cieľom bolo:</w:t>
      </w:r>
    </w:p>
    <w:p w:rsidR="00DF6F23" w:rsidRPr="00DF6F23" w:rsidRDefault="00DF6F23" w:rsidP="00DF6F23">
      <w:pPr>
        <w:pStyle w:val="Odsekzoznamu"/>
        <w:numPr>
          <w:ilvl w:val="0"/>
          <w:numId w:val="13"/>
        </w:numPr>
        <w:jc w:val="both"/>
      </w:pPr>
      <w:r w:rsidRPr="00DF6F23">
        <w:t>Reflektovať a zhodnotiť doterajší priebeh spolupráce MNO a štátu a hovoriť o predstavách/plánoch do budúcna. </w:t>
      </w:r>
    </w:p>
    <w:p w:rsidR="00DF6F23" w:rsidRPr="00DF6F23" w:rsidRDefault="00DF6F23" w:rsidP="00DF6F23">
      <w:pPr>
        <w:pStyle w:val="Odsekzoznamu"/>
        <w:numPr>
          <w:ilvl w:val="0"/>
          <w:numId w:val="13"/>
        </w:numPr>
        <w:jc w:val="both"/>
      </w:pPr>
      <w:r w:rsidRPr="00DF6F23">
        <w:t>Predstaviť rámec pre spoluprácu v novom programovom období - vychádzame zo systému riadenia partnerstva pre nové fondy. </w:t>
      </w:r>
    </w:p>
    <w:p w:rsidR="00DF6F23" w:rsidRDefault="00DF6F23" w:rsidP="00DF6F23">
      <w:pPr>
        <w:pStyle w:val="Odsekzoznamu"/>
        <w:numPr>
          <w:ilvl w:val="0"/>
          <w:numId w:val="13"/>
        </w:numPr>
        <w:jc w:val="both"/>
      </w:pPr>
      <w:r w:rsidRPr="00DF6F23">
        <w:t>Získať kritickú spätnú väzbu na systém práce, ktorá bude podkladom pre dotvorenie ďalšej fázy projektu Partnerstvo.</w:t>
      </w:r>
    </w:p>
    <w:p w:rsidR="00DF6F23" w:rsidRPr="00F8766A" w:rsidRDefault="00DF6F23" w:rsidP="00DF6F23">
      <w:pPr>
        <w:rPr>
          <w:b/>
        </w:rPr>
      </w:pPr>
      <w:r w:rsidRPr="00F8766A">
        <w:rPr>
          <w:b/>
        </w:rPr>
        <w:t>Hlavné výstupy workshopu „Ako môže byť sektor MNO efektívny partner“</w:t>
      </w:r>
    </w:p>
    <w:p w:rsidR="00DF6F23" w:rsidRDefault="00DF6F23" w:rsidP="00DF6F23">
      <w:pPr>
        <w:rPr>
          <w:u w:val="single"/>
        </w:rPr>
      </w:pPr>
      <w:r w:rsidRPr="00F8766A">
        <w:rPr>
          <w:u w:val="single"/>
        </w:rPr>
        <w:t>Hodnotenie spolupráce počas programovania fondov EÚ</w:t>
      </w:r>
    </w:p>
    <w:p w:rsidR="00DF6F23" w:rsidRDefault="00DF6F23" w:rsidP="00DF6F23">
      <w:r>
        <w:t>Spoluprácu hodnotili rovnako pozitívne tak zástupcovia ministerstiev, ako aj MNO. Štát potrebuje zapájanie a spoluprácu s „terénom“ pretože nevidí do všetkých premenných.</w:t>
      </w:r>
    </w:p>
    <w:p w:rsidR="00DF6F23" w:rsidRDefault="00DF6F23" w:rsidP="00DF6F23">
      <w:r>
        <w:t>Pozitívne je hodnotená „tvár“ sektora v podobe inštitúcií, ako je Komora MNO Rady vlády pre MNO. Mandát a legitimita zástupcov MNO nominovaných cez Komoru MNO vytvára istejšie a transparentnejšie prostredie pre spoluprácu štátu s MNO.</w:t>
      </w:r>
    </w:p>
    <w:p w:rsidR="00DF6F23" w:rsidRDefault="00DF6F23" w:rsidP="00DF6F23">
      <w:r>
        <w:t>Problematické je prepojenie medzi politikami a na medzirezortnej úrovni, tu je ďalšia pridaná hodnota MNO a ÚSV ROS, ktoré často iniciujú dialóg v medzirezortnom priestore.</w:t>
      </w:r>
    </w:p>
    <w:p w:rsidR="00DF6F23" w:rsidRPr="005C72C0" w:rsidRDefault="00DF6F23" w:rsidP="00DF6F23">
      <w:pPr>
        <w:rPr>
          <w:u w:val="single"/>
        </w:rPr>
      </w:pPr>
      <w:r w:rsidRPr="005C72C0">
        <w:rPr>
          <w:u w:val="single"/>
        </w:rPr>
        <w:t>Vnímanie systému do budúcna</w:t>
      </w:r>
    </w:p>
    <w:p w:rsidR="00DF6F23" w:rsidRDefault="00DF6F23" w:rsidP="00DF6F23">
      <w:r>
        <w:t xml:space="preserve">Prezentovaný systém riadenia partnerstva a spolupráce so zástupcami občianskej spoločnosti vnímajú účastníci pozitívne. Zástupcovia ministerstiev upozorňujú na mieru ambície vo vzťahu </w:t>
      </w:r>
      <w:proofErr w:type="spellStart"/>
      <w:r>
        <w:t>participatívnej</w:t>
      </w:r>
      <w:proofErr w:type="spellEnd"/>
      <w:r>
        <w:t xml:space="preserve"> príprave výziev. Proces musí byť kapacitne zvládnuteľný.</w:t>
      </w:r>
    </w:p>
    <w:p w:rsidR="00DF6F23" w:rsidRDefault="00DF6F23" w:rsidP="00DF6F23">
      <w:r>
        <w:t>To platí aj pre kapacity MNO. Ak sa systém nastaví príliš intenzívne, sektor MNO bude mať problém s kapacitami a to aj v prípade dispozície technickej pomoci.</w:t>
      </w:r>
    </w:p>
    <w:p w:rsidR="00DF6F23" w:rsidRDefault="00DF6F23" w:rsidP="00DF6F23">
      <w:r>
        <w:lastRenderedPageBreak/>
        <w:t xml:space="preserve">Dôležité je rozhodovanie o tom, ktoré výzvy budú pripravované </w:t>
      </w:r>
      <w:proofErr w:type="spellStart"/>
      <w:r>
        <w:t>participatívne</w:t>
      </w:r>
      <w:proofErr w:type="spellEnd"/>
      <w:r>
        <w:t xml:space="preserve"> a ktoré nie, kompetenciu v tomto by mal mať RO/SO a monitorovací výbor a jeho komisie, systém navrhuje priradiť toto rozhodovanie k schvaľovaniu indikatívneho harmonogramu výziev.</w:t>
      </w:r>
    </w:p>
    <w:p w:rsidR="00DF6F23" w:rsidRDefault="00DF6F23" w:rsidP="00DF6F23">
      <w:r>
        <w:t xml:space="preserve">Mal by vzniknúť mechanizmus pre kontinuálnu spoluprácu počas implementácie výziev, celého ich životného cyklu. Navrhovaná metodika </w:t>
      </w:r>
      <w:proofErr w:type="spellStart"/>
      <w:r>
        <w:t>participatívnej</w:t>
      </w:r>
      <w:proofErr w:type="spellEnd"/>
      <w:r>
        <w:t xml:space="preserve"> prípravy výziev s týmto počíta.</w:t>
      </w:r>
    </w:p>
    <w:p w:rsidR="00DF6F23" w:rsidRDefault="00DF6F23" w:rsidP="00DF6F23">
      <w:r>
        <w:t>Dôležitý bude aj systém monitorovania, musí byť vytvorený dostatočný pracovný priestor, aby systém nebol iba formálny. Dôležitá bude vnútorná štruktúra MV PSK.</w:t>
      </w:r>
    </w:p>
    <w:p w:rsidR="00DF6F23" w:rsidRDefault="00DF6F23" w:rsidP="00DF6F23">
      <w:r>
        <w:t>Systém musí byť aplikovateľný na všetky skupiny zainteresovaných aktérov, nie len na MNO. Za týmto účelom je možná ďalšia spolupráca MIRRI SR a ÚSV ROS, prípadne iných zástupcov socioekonomických partnerov.</w:t>
      </w:r>
    </w:p>
    <w:p w:rsidR="00DF6F23" w:rsidRDefault="00DF6F23" w:rsidP="00DF6F23">
      <w:r>
        <w:t>Dôležité je vzdelávanie a budovanie kapacít v oblasti participácie na strane štátnej správy, ako aj MNO a zber a prenos príkladov dobrej praxe aj zo zahraničia.</w:t>
      </w:r>
    </w:p>
    <w:p w:rsidR="00DF6F23" w:rsidRDefault="00DF6F23" w:rsidP="00DF6F23">
      <w:r>
        <w:t>Budovanie ľudských kapacít na ministerstvách je realistický skôr školením existujúcich kapacít. Vytváranie miest koordinátorov participácie je problematické. Napriek tomu ÚSV ROS túto možnosť preverí.</w:t>
      </w:r>
    </w:p>
    <w:p w:rsidR="00DF6F23" w:rsidRPr="005C72C0" w:rsidRDefault="00DF6F23" w:rsidP="00DF6F23">
      <w:pPr>
        <w:rPr>
          <w:u w:val="single"/>
        </w:rPr>
      </w:pPr>
      <w:r w:rsidRPr="005C72C0">
        <w:rPr>
          <w:u w:val="single"/>
        </w:rPr>
        <w:t>Čo ďalej?</w:t>
      </w:r>
    </w:p>
    <w:p w:rsidR="00DF6F23" w:rsidRDefault="00DF6F23" w:rsidP="00DF6F23">
      <w:r>
        <w:t xml:space="preserve">ÚSV ROS pripraví návrh metodiky pre </w:t>
      </w:r>
      <w:proofErr w:type="spellStart"/>
      <w:r>
        <w:t>participatívnu</w:t>
      </w:r>
      <w:proofErr w:type="spellEnd"/>
      <w:r>
        <w:t xml:space="preserve"> prípravu výziev a bude ju konzultovať so zainteresovanými aktérmi.</w:t>
      </w:r>
    </w:p>
    <w:p w:rsidR="00DF6F23" w:rsidRPr="00F8766A" w:rsidRDefault="00DF6F23" w:rsidP="00DF6F23">
      <w:r>
        <w:t xml:space="preserve">ÚSV ROS spustí proces identifikácie dopytu po participácii z pohľadu MNO a z pohľadu ministerstiev, aby bolo možné začať prípravu </w:t>
      </w:r>
      <w:proofErr w:type="spellStart"/>
      <w:r>
        <w:t>dizajnovania</w:t>
      </w:r>
      <w:proofErr w:type="spellEnd"/>
      <w:r>
        <w:t xml:space="preserve"> participatívnych procesov.</w:t>
      </w:r>
    </w:p>
    <w:p w:rsidR="00DF6F23" w:rsidRDefault="00DF6F23" w:rsidP="00196A1E">
      <w:pPr>
        <w:pStyle w:val="Normlnywebov"/>
        <w:spacing w:before="0" w:beforeAutospacing="0" w:after="0" w:afterAutospacing="0"/>
        <w:rPr>
          <w:rFonts w:eastAsiaTheme="minorHAnsi" w:cstheme="minorBidi"/>
          <w:sz w:val="22"/>
          <w:szCs w:val="22"/>
        </w:rPr>
      </w:pPr>
    </w:p>
    <w:p w:rsidR="00DF6F23" w:rsidRDefault="00DF6F23" w:rsidP="00196A1E">
      <w:pPr>
        <w:pStyle w:val="Normlnywebov"/>
        <w:spacing w:before="0" w:beforeAutospacing="0" w:after="0" w:afterAutospacing="0"/>
        <w:rPr>
          <w:rFonts w:eastAsiaTheme="minorHAnsi" w:cstheme="minorBidi"/>
          <w:sz w:val="22"/>
          <w:szCs w:val="22"/>
        </w:rPr>
      </w:pPr>
    </w:p>
    <w:p w:rsidR="00DF6F23" w:rsidRDefault="00DF6F23" w:rsidP="00196A1E">
      <w:pPr>
        <w:pStyle w:val="Normlnywebov"/>
        <w:spacing w:before="0" w:beforeAutospacing="0" w:after="0" w:afterAutospacing="0"/>
        <w:rPr>
          <w:rFonts w:eastAsiaTheme="minorHAnsi" w:cstheme="minorBidi"/>
          <w:sz w:val="22"/>
          <w:szCs w:val="22"/>
        </w:rPr>
      </w:pPr>
    </w:p>
    <w:p w:rsidR="00196A1E" w:rsidRPr="00196A1E" w:rsidRDefault="00196A1E" w:rsidP="00196A1E">
      <w:pPr>
        <w:pStyle w:val="Normlnywebov"/>
        <w:spacing w:before="0" w:beforeAutospacing="0" w:after="0" w:afterAutospacing="0"/>
        <w:rPr>
          <w:rFonts w:eastAsiaTheme="minorHAnsi" w:cstheme="minorBidi"/>
          <w:sz w:val="22"/>
          <w:szCs w:val="22"/>
        </w:rPr>
      </w:pPr>
      <w:r w:rsidRPr="00196A1E">
        <w:rPr>
          <w:rFonts w:eastAsiaTheme="minorHAnsi" w:cstheme="minorBidi"/>
          <w:sz w:val="22"/>
          <w:szCs w:val="22"/>
        </w:rPr>
        <w:t>Zapísal: Lenka Babicová a Miroslav Mojžiš</w:t>
      </w:r>
    </w:p>
    <w:p w:rsidR="00196A1E" w:rsidRDefault="00196A1E" w:rsidP="00196A1E">
      <w:pPr>
        <w:pStyle w:val="Normlnywebov"/>
        <w:spacing w:before="0" w:beforeAutospacing="0" w:after="0" w:afterAutospacing="0"/>
        <w:rPr>
          <w:rFonts w:eastAsiaTheme="minorHAnsi" w:cstheme="minorBidi"/>
          <w:sz w:val="22"/>
          <w:szCs w:val="22"/>
        </w:rPr>
      </w:pPr>
    </w:p>
    <w:p w:rsidR="00663717" w:rsidRPr="00196A1E" w:rsidRDefault="00196A1E" w:rsidP="00196A1E">
      <w:pPr>
        <w:pStyle w:val="Normlnywebov"/>
        <w:spacing w:before="0" w:beforeAutospacing="0" w:after="0" w:afterAutospacing="0"/>
        <w:rPr>
          <w:rFonts w:eastAsiaTheme="minorHAnsi" w:cstheme="minorBidi"/>
          <w:sz w:val="22"/>
          <w:szCs w:val="22"/>
        </w:rPr>
      </w:pPr>
      <w:r w:rsidRPr="00196A1E">
        <w:rPr>
          <w:rFonts w:eastAsiaTheme="minorHAnsi" w:cstheme="minorBidi"/>
          <w:sz w:val="22"/>
          <w:szCs w:val="22"/>
        </w:rPr>
        <w:t>Dátum: 2</w:t>
      </w:r>
      <w:r w:rsidR="00DF6F23">
        <w:rPr>
          <w:rFonts w:eastAsiaTheme="minorHAnsi" w:cstheme="minorBidi"/>
          <w:sz w:val="22"/>
          <w:szCs w:val="22"/>
        </w:rPr>
        <w:t>1</w:t>
      </w:r>
      <w:r w:rsidR="00663717" w:rsidRPr="00196A1E">
        <w:rPr>
          <w:rFonts w:eastAsiaTheme="minorHAnsi" w:cstheme="minorBidi"/>
          <w:sz w:val="22"/>
          <w:szCs w:val="22"/>
        </w:rPr>
        <w:t>.0</w:t>
      </w:r>
      <w:r w:rsidRPr="00196A1E">
        <w:rPr>
          <w:rFonts w:eastAsiaTheme="minorHAnsi" w:cstheme="minorBidi"/>
          <w:sz w:val="22"/>
          <w:szCs w:val="22"/>
        </w:rPr>
        <w:t>6</w:t>
      </w:r>
      <w:r w:rsidR="00663717" w:rsidRPr="00196A1E">
        <w:rPr>
          <w:rFonts w:eastAsiaTheme="minorHAnsi" w:cstheme="minorBidi"/>
          <w:sz w:val="22"/>
          <w:szCs w:val="22"/>
        </w:rPr>
        <w:t>.2022</w:t>
      </w:r>
    </w:p>
    <w:p w:rsidR="00A374E5" w:rsidRDefault="008C4017"/>
    <w:sectPr w:rsidR="00A374E5" w:rsidSect="007F4CE8">
      <w:headerReference w:type="default" r:id="rId7"/>
      <w:footerReference w:type="default" r:id="rId8"/>
      <w:pgSz w:w="11906" w:h="16838"/>
      <w:pgMar w:top="568" w:right="1417" w:bottom="851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017" w:rsidRDefault="008C4017">
      <w:pPr>
        <w:spacing w:after="0" w:line="240" w:lineRule="auto"/>
      </w:pPr>
      <w:r>
        <w:separator/>
      </w:r>
    </w:p>
  </w:endnote>
  <w:endnote w:type="continuationSeparator" w:id="0">
    <w:p w:rsidR="008C4017" w:rsidRDefault="008C4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3FD" w:rsidRDefault="008C4017" w:rsidP="0095281B">
    <w:pPr>
      <w:jc w:val="both"/>
      <w:rPr>
        <w:sz w:val="20"/>
      </w:rPr>
    </w:pPr>
  </w:p>
  <w:p w:rsidR="008A03FD" w:rsidRPr="00FE2910" w:rsidRDefault="00F26DA2" w:rsidP="007F4CE8">
    <w:pPr>
      <w:spacing w:after="0"/>
      <w:jc w:val="both"/>
      <w:rPr>
        <w:sz w:val="20"/>
      </w:rPr>
    </w:pPr>
    <w:r w:rsidRPr="00FE2910">
      <w:rPr>
        <w:sz w:val="20"/>
      </w:rPr>
      <w:t xml:space="preserve">Projekt </w:t>
    </w:r>
    <w:r w:rsidRPr="00FE2910">
      <w:rPr>
        <w:i/>
        <w:sz w:val="20"/>
      </w:rPr>
      <w:t>,,Efektívne zapojenie občianskej spoločnosti do programovania, implementácie a monitorovania EŠIF zavádzaním participatívnych postupov 2“</w:t>
    </w:r>
    <w:r w:rsidRPr="00FE2910">
      <w:rPr>
        <w:sz w:val="20"/>
      </w:rPr>
      <w:t xml:space="preserve"> je spolufinancovaný Európskou úniou z prostriedkov operačného programu Technická pomoc 2014 – 2020, ktorý bol podporený z Európskeho fondu regionálneho rozvoja.</w:t>
    </w:r>
  </w:p>
  <w:p w:rsidR="008A03FD" w:rsidRDefault="00F26DA2" w:rsidP="00E77CCB">
    <w:pPr>
      <w:pStyle w:val="Pta"/>
      <w:tabs>
        <w:tab w:val="clear" w:pos="4536"/>
        <w:tab w:val="clear" w:pos="9072"/>
        <w:tab w:val="left" w:pos="33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017" w:rsidRDefault="008C4017">
      <w:pPr>
        <w:spacing w:after="0" w:line="240" w:lineRule="auto"/>
      </w:pPr>
      <w:r>
        <w:separator/>
      </w:r>
    </w:p>
  </w:footnote>
  <w:footnote w:type="continuationSeparator" w:id="0">
    <w:p w:rsidR="008C4017" w:rsidRDefault="008C4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E54" w:rsidRDefault="00F26DA2" w:rsidP="00532E54">
    <w:pPr>
      <w:spacing w:after="0"/>
      <w:ind w:left="-709"/>
      <w:jc w:val="right"/>
      <w:rPr>
        <w:b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63855713" wp14:editId="0D6A4D72">
          <wp:simplePos x="0" y="0"/>
          <wp:positionH relativeFrom="column">
            <wp:posOffset>4205605</wp:posOffset>
          </wp:positionH>
          <wp:positionV relativeFrom="paragraph">
            <wp:posOffset>108585</wp:posOffset>
          </wp:positionV>
          <wp:extent cx="1862455" cy="395605"/>
          <wp:effectExtent l="0" t="0" r="4445" b="4445"/>
          <wp:wrapThrough wrapText="bothSides">
            <wp:wrapPolygon edited="0">
              <wp:start x="0" y="0"/>
              <wp:lineTo x="0" y="20803"/>
              <wp:lineTo x="21431" y="20803"/>
              <wp:lineTo x="21431" y="0"/>
              <wp:lineTo x="0" y="0"/>
            </wp:wrapPolygon>
          </wp:wrapThrough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4229C436" wp14:editId="5759357D">
          <wp:simplePos x="0" y="0"/>
          <wp:positionH relativeFrom="column">
            <wp:posOffset>2395855</wp:posOffset>
          </wp:positionH>
          <wp:positionV relativeFrom="paragraph">
            <wp:posOffset>125730</wp:posOffset>
          </wp:positionV>
          <wp:extent cx="1568450" cy="359410"/>
          <wp:effectExtent l="0" t="0" r="0" b="2540"/>
          <wp:wrapThrough wrapText="bothSides">
            <wp:wrapPolygon edited="0">
              <wp:start x="0" y="0"/>
              <wp:lineTo x="0" y="20608"/>
              <wp:lineTo x="21250" y="20608"/>
              <wp:lineTo x="21250" y="0"/>
              <wp:lineTo x="0" y="0"/>
            </wp:wrapPolygon>
          </wp:wrapThrough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                                                         </w:t>
    </w:r>
    <w:r>
      <w:rPr>
        <w:noProof/>
        <w:lang w:eastAsia="sk-SK"/>
      </w:rPr>
      <w:drawing>
        <wp:anchor distT="0" distB="0" distL="114300" distR="114300" simplePos="0" relativeHeight="251662336" behindDoc="0" locked="0" layoutInCell="1" allowOverlap="1" wp14:anchorId="1465EF81" wp14:editId="25A1DB57">
          <wp:simplePos x="0" y="0"/>
          <wp:positionH relativeFrom="column">
            <wp:posOffset>829945</wp:posOffset>
          </wp:positionH>
          <wp:positionV relativeFrom="paragraph">
            <wp:posOffset>3810</wp:posOffset>
          </wp:positionV>
          <wp:extent cx="1402715" cy="647700"/>
          <wp:effectExtent l="0" t="0" r="6985" b="0"/>
          <wp:wrapTight wrapText="bothSides">
            <wp:wrapPolygon edited="0">
              <wp:start x="0" y="0"/>
              <wp:lineTo x="0" y="20965"/>
              <wp:lineTo x="21414" y="20965"/>
              <wp:lineTo x="21414" y="0"/>
              <wp:lineTo x="0" y="0"/>
            </wp:wrapPolygon>
          </wp:wrapTight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71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4D686A47" wp14:editId="39C1FF2F">
          <wp:simplePos x="0" y="0"/>
          <wp:positionH relativeFrom="column">
            <wp:posOffset>-509270</wp:posOffset>
          </wp:positionH>
          <wp:positionV relativeFrom="paragraph">
            <wp:posOffset>10795</wp:posOffset>
          </wp:positionV>
          <wp:extent cx="1095375" cy="720090"/>
          <wp:effectExtent l="0" t="0" r="9525" b="3810"/>
          <wp:wrapSquare wrapText="bothSides"/>
          <wp:docPr id="16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32E54" w:rsidRDefault="008C4017" w:rsidP="00532E54">
    <w:pPr>
      <w:spacing w:after="0"/>
      <w:rPr>
        <w:b/>
      </w:rPr>
    </w:pPr>
  </w:p>
  <w:p w:rsidR="00532E54" w:rsidRDefault="00F26DA2" w:rsidP="00532E54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7725"/>
      </w:tabs>
      <w:spacing w:after="0"/>
      <w:ind w:left="-709"/>
      <w:rPr>
        <w:b/>
      </w:rPr>
    </w:pPr>
    <w:r>
      <w:rPr>
        <w:b/>
      </w:rPr>
      <w:t>EURÓPSKA ÚNIA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  <w:p w:rsidR="008A03FD" w:rsidRPr="00532E54" w:rsidRDefault="00F26DA2" w:rsidP="00532E54">
    <w:pPr>
      <w:spacing w:after="240"/>
      <w:ind w:left="-709"/>
      <w:rPr>
        <w:b/>
      </w:rPr>
    </w:pPr>
    <w:r>
      <w:rPr>
        <w:b/>
      </w:rPr>
      <w:t>Európsky fond regionálneho rozvoja</w:t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A1B"/>
    <w:multiLevelType w:val="hybridMultilevel"/>
    <w:tmpl w:val="B5E0E0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47F0"/>
    <w:multiLevelType w:val="hybridMultilevel"/>
    <w:tmpl w:val="E7C2A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67D4B"/>
    <w:multiLevelType w:val="hybridMultilevel"/>
    <w:tmpl w:val="0D0A80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B2BA9"/>
    <w:multiLevelType w:val="hybridMultilevel"/>
    <w:tmpl w:val="EE5A8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15136"/>
    <w:multiLevelType w:val="hybridMultilevel"/>
    <w:tmpl w:val="0B96F4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A7644"/>
    <w:multiLevelType w:val="hybridMultilevel"/>
    <w:tmpl w:val="E6F6F8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B36F0"/>
    <w:multiLevelType w:val="hybridMultilevel"/>
    <w:tmpl w:val="8AC8919A"/>
    <w:lvl w:ilvl="0" w:tplc="A05EC5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952A3"/>
    <w:multiLevelType w:val="hybridMultilevel"/>
    <w:tmpl w:val="DA3493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640BB"/>
    <w:multiLevelType w:val="hybridMultilevel"/>
    <w:tmpl w:val="AA0C1F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E7010"/>
    <w:multiLevelType w:val="hybridMultilevel"/>
    <w:tmpl w:val="C9BA6D86"/>
    <w:lvl w:ilvl="0" w:tplc="757CB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F3CB6"/>
    <w:multiLevelType w:val="multilevel"/>
    <w:tmpl w:val="BC1E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622621"/>
    <w:multiLevelType w:val="hybridMultilevel"/>
    <w:tmpl w:val="0BBEBB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40C23"/>
    <w:multiLevelType w:val="hybridMultilevel"/>
    <w:tmpl w:val="96D260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17"/>
    <w:rsid w:val="000354B3"/>
    <w:rsid w:val="00105A40"/>
    <w:rsid w:val="00196A1E"/>
    <w:rsid w:val="00346BC9"/>
    <w:rsid w:val="003739F0"/>
    <w:rsid w:val="00375ADC"/>
    <w:rsid w:val="003C1D95"/>
    <w:rsid w:val="00405DAD"/>
    <w:rsid w:val="00427260"/>
    <w:rsid w:val="005129BF"/>
    <w:rsid w:val="005F7DE2"/>
    <w:rsid w:val="00663717"/>
    <w:rsid w:val="006C1A44"/>
    <w:rsid w:val="008C4017"/>
    <w:rsid w:val="008D33B1"/>
    <w:rsid w:val="009679D7"/>
    <w:rsid w:val="009E6269"/>
    <w:rsid w:val="00B263FD"/>
    <w:rsid w:val="00B74187"/>
    <w:rsid w:val="00B87EC3"/>
    <w:rsid w:val="00C00875"/>
    <w:rsid w:val="00C02209"/>
    <w:rsid w:val="00C819DF"/>
    <w:rsid w:val="00D160DA"/>
    <w:rsid w:val="00DF6F23"/>
    <w:rsid w:val="00E36849"/>
    <w:rsid w:val="00F25796"/>
    <w:rsid w:val="00F26DA2"/>
    <w:rsid w:val="00F5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564B"/>
  <w15:chartTrackingRefBased/>
  <w15:docId w15:val="{9B404068-663A-4DDA-9AFE-82E7A599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371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63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3717"/>
  </w:style>
  <w:style w:type="paragraph" w:styleId="Odsekzoznamu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lny"/>
    <w:link w:val="OdsekzoznamuChar"/>
    <w:uiPriority w:val="34"/>
    <w:qFormat/>
    <w:rsid w:val="00663717"/>
    <w:pPr>
      <w:ind w:left="720"/>
      <w:contextualSpacing/>
    </w:pPr>
  </w:style>
  <w:style w:type="character" w:customStyle="1" w:styleId="OdsekzoznamuChar">
    <w:name w:val="Odsek zoznamu Char"/>
    <w:aliases w:val="List Paragraph compact Char,Normal bullet 2 Char,Paragraphe de liste 2 Char,Reference list Char,Bullet list Char,Numbered List Char,List Paragraph1 Char,1st level - Bullet List Paragraph Char,Lettre d'introduction Char,Paragraph Char"/>
    <w:link w:val="Odsekzoznamu"/>
    <w:uiPriority w:val="34"/>
    <w:qFormat/>
    <w:locked/>
    <w:rsid w:val="00663717"/>
  </w:style>
  <w:style w:type="paragraph" w:styleId="Normlnywebov">
    <w:name w:val="Normal (Web)"/>
    <w:basedOn w:val="Normlny"/>
    <w:uiPriority w:val="99"/>
    <w:semiHidden/>
    <w:unhideWhenUsed/>
    <w:rsid w:val="0019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6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6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 Partnerstvo (Barbora Dúbravová)</dc:creator>
  <cp:keywords/>
  <dc:description/>
  <cp:lastModifiedBy>Lenka Babicová</cp:lastModifiedBy>
  <cp:revision>3</cp:revision>
  <cp:lastPrinted>2022-06-30T12:52:00Z</cp:lastPrinted>
  <dcterms:created xsi:type="dcterms:W3CDTF">2022-06-30T12:53:00Z</dcterms:created>
  <dcterms:modified xsi:type="dcterms:W3CDTF">2022-06-30T12:53:00Z</dcterms:modified>
</cp:coreProperties>
</file>