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D" w:rsidRPr="005B4726" w:rsidRDefault="005C192D" w:rsidP="00C91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Krajský investor </w:t>
      </w:r>
      <w:r w:rsidR="00B439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bytovej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občianskej výstavby v Nitre 1957</w:t>
      </w:r>
      <w:r w:rsidR="009A32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228D3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7C75D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1960</w:t>
      </w:r>
      <w:r w:rsidR="00C6531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C473D" w:rsidRPr="005B4726">
        <w:rPr>
          <w:rFonts w:ascii="Times New Roman" w:hAnsi="Times New Roman" w:cs="Times New Roman"/>
          <w:b/>
          <w:sz w:val="24"/>
          <w:szCs w:val="24"/>
        </w:rPr>
        <w:t>Opis</w:t>
      </w:r>
      <w:r w:rsidR="002C6BFD" w:rsidRPr="005B4726">
        <w:rPr>
          <w:rFonts w:ascii="Times New Roman" w:hAnsi="Times New Roman" w:cs="Times New Roman"/>
          <w:b/>
          <w:sz w:val="24"/>
          <w:szCs w:val="24"/>
        </w:rPr>
        <w:t xml:space="preserve"> na úrovni</w:t>
      </w:r>
      <w:r w:rsidR="004C473D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>archívne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ho</w:t>
      </w:r>
      <w:r w:rsidR="00D61C5C" w:rsidRPr="005B4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013" w:rsidRPr="005B4726">
        <w:rPr>
          <w:rFonts w:ascii="Times New Roman" w:hAnsi="Times New Roman" w:cs="Times New Roman"/>
          <w:b/>
          <w:sz w:val="24"/>
          <w:szCs w:val="24"/>
        </w:rPr>
        <w:t>fondu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2352"/>
        <w:gridCol w:w="8614"/>
        <w:gridCol w:w="2205"/>
      </w:tblGrid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kódu v AJ</w:t>
            </w:r>
          </w:p>
        </w:tc>
        <w:tc>
          <w:tcPr>
            <w:tcW w:w="8614" w:type="dxa"/>
            <w:vAlign w:val="center"/>
          </w:tcPr>
          <w:p w:rsidR="00F01588" w:rsidRPr="005B4726" w:rsidRDefault="00BA5A24" w:rsidP="00C50F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F01588" w:rsidRPr="005B4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bsah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b/>
                <w:sz w:val="24"/>
                <w:szCs w:val="24"/>
              </w:rPr>
              <w:t>ázov kódu v SJ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352" w:type="dxa"/>
            <w:vAlign w:val="center"/>
          </w:tcPr>
          <w:p w:rsidR="00F01588" w:rsidRPr="005B4726" w:rsidRDefault="004D5AED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ode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C0ABD" w:rsidP="009A32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SK_1550_7320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Referenčný kód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52" w:type="dxa"/>
            <w:vAlign w:val="center"/>
          </w:tcPr>
          <w:p w:rsidR="00F01588" w:rsidRPr="005B4726" w:rsidRDefault="00A94481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5C192D" w:rsidP="00C01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Krajský investor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 xml:space="preserve"> bytovej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občianskej výstavby v Nitre 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Názov jednotky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614" w:type="dxa"/>
            <w:vAlign w:val="center"/>
          </w:tcPr>
          <w:p w:rsidR="00F01588" w:rsidRPr="005B4726" w:rsidRDefault="005C192D" w:rsidP="0014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 – 1960</w:t>
            </w:r>
            <w:r w:rsidR="0030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Časový rozsah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desription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600013" w:rsidP="00FB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Úroveň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Extent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 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quant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bulk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14" w:type="dxa"/>
            <w:vAlign w:val="center"/>
          </w:tcPr>
          <w:p w:rsidR="00F01588" w:rsidRPr="005B4726" w:rsidRDefault="00FC0ABD" w:rsidP="0071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6,36 bm (51 škatúľ spisov)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 nosič je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notky opisu (mno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stvo, rozsah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alebo veľkosť)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C5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8614" w:type="dxa"/>
            <w:vAlign w:val="center"/>
          </w:tcPr>
          <w:p w:rsidR="00F01588" w:rsidRPr="005B4726" w:rsidRDefault="00C0192F" w:rsidP="00B43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2F">
              <w:rPr>
                <w:rFonts w:ascii="Times New Roman" w:hAnsi="Times New Roman" w:cs="Times New Roman"/>
                <w:sz w:val="24"/>
                <w:szCs w:val="24"/>
              </w:rPr>
              <w:t>Krajský investor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2F">
              <w:rPr>
                <w:rFonts w:ascii="Times New Roman" w:hAnsi="Times New Roman" w:cs="Times New Roman"/>
                <w:sz w:val="24"/>
                <w:szCs w:val="24"/>
              </w:rPr>
              <w:t>bytovej a občianskej výstavby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192F">
              <w:rPr>
                <w:rFonts w:ascii="Times New Roman" w:hAnsi="Times New Roman" w:cs="Times New Roman"/>
                <w:sz w:val="24"/>
                <w:szCs w:val="24"/>
              </w:rPr>
              <w:t>Nitre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F01588" w:rsidRPr="005B4726" w:rsidRDefault="00DF5E16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ázov pôvodcu</w:t>
            </w:r>
          </w:p>
        </w:tc>
      </w:tr>
      <w:tr w:rsidR="00600013" w:rsidRPr="005B4726" w:rsidTr="0054480D">
        <w:tc>
          <w:tcPr>
            <w:tcW w:w="1049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352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8614" w:type="dxa"/>
            <w:vAlign w:val="center"/>
          </w:tcPr>
          <w:p w:rsidR="00331EC5" w:rsidRPr="005B4726" w:rsidRDefault="005C192D" w:rsidP="00B4395D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zmysle uznesenia Ústredného výboru Komunistickej strany Československa 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FC0ABD">
              <w:rPr>
                <w:rFonts w:ascii="Times New Roman" w:hAnsi="Times New Roman" w:cs="Times New Roman"/>
                <w:sz w:val="24"/>
                <w:szCs w:val="24"/>
              </w:rPr>
              <w:t xml:space="preserve">roku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1956 boli pri národných výboroch zriadené špecializované útvary, ktoré prevzali a sústredili dovtedajšiu činnosť mnohých drobných investo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rov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s cieľom zlepšiť riad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štátnej investičnej výstavby bytov a občianskeho vybavenia sídlisk. Vo vteda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šom Nitrianskom kraji vznikla takáto inštitúcia 1. októbra 1956 s názvom Krajský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vestor bytovej a občianskej výstavby. Prostredníctvom odboru výstavby na Krajskom národnom výbore (KNV) v Nitre 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bol podriadený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 Krajského národného výboru v Nitre. Vzhľadom na to, že okrem Nitry sa bytová výstavba vo väčšom rozsahu 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zovala aj v regióne Hornej Nitry, 1. januára 1957 vzniklo odlúčené pracovisko 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>Kra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 xml:space="preserve">ského investora bytovej a občianskej výstavby 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 xml:space="preserve">pri Okresnom národnom výbore (ONV) v Prievidzi. Neskôr sa názov útvaru zmenil na: Generálny investor komplexnej bytovej 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občianskej výstavby pri KNV v Nitre a pri ONV v Prievidzi. Oba tieto orgány pôs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>bili až do územnej reorganizácie krajského zriadenia a ukončili svoju činnosť po zán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>ku dovtedajšieho Nitrianskeho kraja ku dňu 30. júna 1960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600013" w:rsidRPr="005B4726" w:rsidRDefault="00600013" w:rsidP="00DF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správy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vodcu</w:t>
            </w:r>
          </w:p>
        </w:tc>
      </w:tr>
      <w:tr w:rsidR="00600013" w:rsidRPr="005B4726" w:rsidTr="0054480D">
        <w:tc>
          <w:tcPr>
            <w:tcW w:w="1049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2" w:type="dxa"/>
            <w:vAlign w:val="center"/>
          </w:tcPr>
          <w:p w:rsidR="00600013" w:rsidRPr="005B4726" w:rsidRDefault="00600013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8614" w:type="dxa"/>
          </w:tcPr>
          <w:p w:rsidR="00145333" w:rsidRDefault="00871BDF" w:rsidP="009A1BF9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Viac ako 50 zamestnancov pracovísk pri KNV v Nitre a pri ONV v Prievidzi bolo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radených do organizačnej štruktúry</w:t>
            </w:r>
            <w:r w:rsidR="00511069">
              <w:rPr>
                <w:rFonts w:ascii="Times New Roman" w:hAnsi="Times New Roman" w:cs="Times New Roman"/>
                <w:sz w:val="24"/>
                <w:szCs w:val="24"/>
              </w:rPr>
              <w:t>, ktorej zodpovedala aj registratúra pôvodcu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. sekretariát</w:t>
            </w:r>
            <w:bookmarkStart w:id="0" w:name="_GoBack"/>
            <w:bookmarkEnd w:id="0"/>
            <w:r w:rsidR="00145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plá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novanie a štatistické oddelenie;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technicko-prevádzkové oddele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nie;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dokumen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tačná skupina;</w:t>
            </w:r>
          </w:p>
          <w:p w:rsidR="00145333" w:rsidRDefault="00145333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hospodársko-správna skupina;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stavebno-dopravná sku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pina;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učtáreň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expozi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túra v Prievidzi;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Písomnosti vzniknuté z činnosti týchto oddelení sa členili do ô</w:t>
            </w:r>
            <w:r w:rsidR="00E03EB4">
              <w:rPr>
                <w:rFonts w:ascii="Times New Roman" w:hAnsi="Times New Roman" w:cs="Times New Roman"/>
                <w:sz w:val="24"/>
                <w:szCs w:val="24"/>
              </w:rPr>
              <w:t>smi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ch vecných skupín:</w:t>
            </w:r>
          </w:p>
          <w:p w:rsidR="00145333" w:rsidRDefault="00145333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I. smernice;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145333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plánovanie;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145333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stavebný dozor;</w:t>
            </w:r>
            <w:r w:rsidR="0087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kon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trolné dni;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Investičné dokla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dy;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výkazy hospodáre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nia;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533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všeobecná korešponde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ncia;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663" w:rsidRDefault="00871BDF" w:rsidP="006B7665">
            <w:pPr>
              <w:pStyle w:val="Zarkazkladnhotextu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stavebná korešponden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cia;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9D7" w:rsidRPr="005B4726" w:rsidRDefault="009F09D7" w:rsidP="00B4395D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zaniknutí pôvodcu bola jeho registratúra pravdepodobne prevzatá novovytvoreným útvarom Generálneho investora komplexnej bytovej a občianskej výstavby pri ONV v Nitre, ktorý po zániku krajského investora zdedil j</w:t>
            </w:r>
            <w:r w:rsidR="00511069">
              <w:rPr>
                <w:rFonts w:ascii="Times New Roman" w:hAnsi="Times New Roman" w:cs="Times New Roman"/>
                <w:sz w:val="24"/>
                <w:szCs w:val="24"/>
              </w:rPr>
              <w:t xml:space="preserve">eho sídlo a časť právomocí pre </w:t>
            </w:r>
            <w:r w:rsidR="00E03EB4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 Nitra. Odtiaľ sa krajská a okresná registratúra, resp. jej zvyšky dostali koncom šesťdesiatych rok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ov do Štátneho archívu v Nitre ako súčasť registratúry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národného podniku (n. p.)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Stavoinvest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Proveniencia dovtedy neusporiadaného a takmer anony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ného súboru písomností sa zistila až pri archívnom spracovaní v roku 1979.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 xml:space="preserve"> K sprac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>vanému archívnemu fondu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 xml:space="preserve"> s názvom Krajský investor bytovej a občianskej výstavby</w:t>
            </w:r>
            <w:r w:rsidR="00C22362">
              <w:rPr>
                <w:rFonts w:ascii="Times New Roman" w:hAnsi="Times New Roman" w:cs="Times New Roman"/>
                <w:sz w:val="24"/>
                <w:szCs w:val="24"/>
              </w:rPr>
              <w:t xml:space="preserve"> bol v roku 1981 vyhotovený inventár. </w:t>
            </w:r>
          </w:p>
        </w:tc>
        <w:tc>
          <w:tcPr>
            <w:tcW w:w="2205" w:type="dxa"/>
            <w:vAlign w:val="center"/>
          </w:tcPr>
          <w:p w:rsidR="00600013" w:rsidRPr="005B4726" w:rsidRDefault="00600013" w:rsidP="00C5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Dejiny archívneho fondu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acquisition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transfer</w:t>
            </w:r>
          </w:p>
        </w:tc>
        <w:tc>
          <w:tcPr>
            <w:tcW w:w="8614" w:type="dxa"/>
            <w:vAlign w:val="center"/>
          </w:tcPr>
          <w:p w:rsidR="00F01588" w:rsidRPr="005B4726" w:rsidRDefault="00FC0ABD" w:rsidP="009A1BF9">
            <w:pPr>
              <w:widowControl w:val="0"/>
              <w:tabs>
                <w:tab w:val="left" w:pos="284"/>
                <w:tab w:val="left" w:pos="1134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Archívny fond bol prevzatý do Štátneho archívu v Nitre 2. februára 1970 pod príras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0192F">
              <w:rPr>
                <w:rFonts w:ascii="Times New Roman" w:hAnsi="Times New Roman" w:cs="Times New Roman"/>
                <w:sz w:val="24"/>
                <w:szCs w:val="24"/>
              </w:rPr>
              <w:t>kovým číslom 457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Spôsoby získavania archívnych príras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kov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  <w:proofErr w:type="spellEnd"/>
          </w:p>
        </w:tc>
        <w:tc>
          <w:tcPr>
            <w:tcW w:w="8614" w:type="dxa"/>
            <w:vAlign w:val="center"/>
          </w:tcPr>
          <w:p w:rsidR="00995C46" w:rsidRPr="005B4726" w:rsidRDefault="009F09D7" w:rsidP="00C0192F">
            <w:pPr>
              <w:pStyle w:val="Zarkazkladnhotextu"/>
              <w:spacing w:before="200" w:after="20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Archívny fond Krajský investor 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 xml:space="preserve">bytovej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občianskej výstavby v Nitre pozostáva z 13 inventárnych jednotiek uložených do 51 škatúľ.</w:t>
            </w:r>
            <w:r w:rsidR="001A1F4E">
              <w:rPr>
                <w:rFonts w:ascii="Times New Roman" w:hAnsi="Times New Roman" w:cs="Times New Roman"/>
                <w:sz w:val="24"/>
                <w:szCs w:val="24"/>
              </w:rPr>
              <w:t xml:space="preserve"> Obsahuje údaje o rozsahu a priebehu výstavby sídlisk, ich občianskej vybavenosti a niektorých ďalších verejných objektov v Nitrianskom kraji z obdobia konca päťdesiatych rokov.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Obsah 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a rozsah 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chívneho fondu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destruction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scheduling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formation</w:t>
            </w:r>
            <w:proofErr w:type="spellEnd"/>
          </w:p>
        </w:tc>
        <w:tc>
          <w:tcPr>
            <w:tcW w:w="8614" w:type="dxa"/>
            <w:vAlign w:val="center"/>
          </w:tcPr>
          <w:p w:rsidR="00D445B5" w:rsidRPr="005B4726" w:rsidRDefault="003653F0" w:rsidP="00D8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Informácie o vyraďovaní nie sú známe.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Vyraďovanie a ho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notenie 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Accruals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Neočakávajú sa</w:t>
            </w:r>
            <w:r w:rsidR="008B5756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  <w:vAlign w:val="center"/>
          </w:tcPr>
          <w:p w:rsidR="00F01588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Možné prírastky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arrang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</w:p>
        </w:tc>
        <w:tc>
          <w:tcPr>
            <w:tcW w:w="8614" w:type="dxa"/>
            <w:vAlign w:val="center"/>
          </w:tcPr>
          <w:p w:rsidR="00DB6EE1" w:rsidRPr="005B4726" w:rsidRDefault="009F09D7" w:rsidP="009F09AA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Inventárnu jednotku v rámci archívneho fondu tvoria písomnosti jednej vecnej skupiny za jeden rok. Poradové čísla im boli pridelené až pri archívnom spracovaní.</w:t>
            </w:r>
            <w:r w:rsidR="001A1F4E">
              <w:rPr>
                <w:rFonts w:ascii="Times New Roman" w:hAnsi="Times New Roman" w:cs="Times New Roman"/>
                <w:sz w:val="24"/>
                <w:szCs w:val="24"/>
              </w:rPr>
              <w:t xml:space="preserve"> Signatúry pozostávajú zo skratky názvu archívneho fondu, ročníka, rímskeho čísla vecnej skup</w:t>
            </w:r>
            <w:r w:rsidR="001A1F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A1F4E">
              <w:rPr>
                <w:rFonts w:ascii="Times New Roman" w:hAnsi="Times New Roman" w:cs="Times New Roman"/>
                <w:sz w:val="24"/>
                <w:szCs w:val="24"/>
              </w:rPr>
              <w:t>ny a arabského čísla spisu.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Spôsob usporiad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DF7A20" w:rsidP="00F9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A20">
              <w:rPr>
                <w:rFonts w:ascii="Times New Roman" w:hAnsi="Times New Roman" w:cs="Times New Roman"/>
                <w:sz w:val="24"/>
                <w:szCs w:val="24"/>
              </w:rPr>
              <w:t xml:space="preserve">Archívny fond je prístupný v zmysle Zákona č. 395/2002 Z. z. o archívoch a </w:t>
            </w:r>
            <w:proofErr w:type="spellStart"/>
            <w:r w:rsidRPr="00DF7A20">
              <w:rPr>
                <w:rFonts w:ascii="Times New Roman" w:hAnsi="Times New Roman" w:cs="Times New Roman"/>
                <w:sz w:val="24"/>
                <w:szCs w:val="24"/>
              </w:rPr>
              <w:t>registratú-rach</w:t>
            </w:r>
            <w:proofErr w:type="spellEnd"/>
            <w:r w:rsidRPr="00DF7A20">
              <w:rPr>
                <w:rFonts w:ascii="Times New Roman" w:hAnsi="Times New Roman" w:cs="Times New Roman"/>
                <w:sz w:val="24"/>
                <w:szCs w:val="24"/>
              </w:rPr>
              <w:t xml:space="preserve"> a o doplnení niektorých zákonov a v zmysle Zákona č. 18/2018 Z. z. o ochrane osobných údajov a o zmene a doplnení niektorých zákonov.</w:t>
            </w:r>
          </w:p>
        </w:tc>
        <w:tc>
          <w:tcPr>
            <w:tcW w:w="2205" w:type="dxa"/>
            <w:vAlign w:val="center"/>
          </w:tcPr>
          <w:p w:rsidR="00F01588" w:rsidRPr="005B4726" w:rsidRDefault="00F01588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prístupu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Archívne dokumenty možno reprodukovať so súhlasom archívu podľa podmienok uvedených v jeho bádateľskom poriadku a v súlade s internými predpismi MV SR.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Podmienky vyhot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vovania reprodukcií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scripts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516398" w:rsidP="0076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slovenský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Jazyk/písmo archí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nych dokumentov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3.4.4.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characteri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tics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</w:p>
        </w:tc>
        <w:tc>
          <w:tcPr>
            <w:tcW w:w="8614" w:type="dxa"/>
            <w:vAlign w:val="center"/>
          </w:tcPr>
          <w:p w:rsidR="00FB4F2A" w:rsidRPr="005B4726" w:rsidRDefault="009D07AB" w:rsidP="005228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nepoškodený</w:t>
            </w:r>
            <w:r w:rsidR="00DF7A20">
              <w:rPr>
                <w:rFonts w:ascii="Times New Roman" w:hAnsi="Times New Roman" w:cs="Times New Roman"/>
                <w:sz w:val="24"/>
                <w:szCs w:val="24"/>
              </w:rPr>
              <w:t>, neúplný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ický stav a technické poži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790" w:rsidRPr="005B4726">
              <w:rPr>
                <w:rFonts w:ascii="Times New Roman" w:hAnsi="Times New Roman" w:cs="Times New Roman"/>
                <w:sz w:val="24"/>
                <w:szCs w:val="24"/>
              </w:rPr>
              <w:t>davky</w:t>
            </w:r>
          </w:p>
        </w:tc>
      </w:tr>
      <w:tr w:rsidR="00EF1790" w:rsidRPr="005B4726" w:rsidTr="0054480D">
        <w:trPr>
          <w:trHeight w:val="1191"/>
        </w:trPr>
        <w:tc>
          <w:tcPr>
            <w:tcW w:w="1049" w:type="dxa"/>
            <w:vAlign w:val="center"/>
          </w:tcPr>
          <w:p w:rsidR="00EF1790" w:rsidRPr="005B4726" w:rsidRDefault="00EF1790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3.4.5.</w:t>
            </w:r>
          </w:p>
        </w:tc>
        <w:tc>
          <w:tcPr>
            <w:tcW w:w="2352" w:type="dxa"/>
            <w:vAlign w:val="center"/>
          </w:tcPr>
          <w:p w:rsidR="00EF1790" w:rsidRPr="005B4726" w:rsidRDefault="00EF1790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Finding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aids</w:t>
            </w:r>
          </w:p>
        </w:tc>
        <w:tc>
          <w:tcPr>
            <w:tcW w:w="8614" w:type="dxa"/>
            <w:vAlign w:val="center"/>
          </w:tcPr>
          <w:p w:rsidR="00745FA3" w:rsidRPr="005B4726" w:rsidRDefault="00FC0ABD" w:rsidP="00C0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Štátny oblastný archív v Nitre, pracovisko v Šali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Untermajerová</w:t>
            </w:r>
            <w:proofErr w:type="spellEnd"/>
            <w:r w:rsidR="005E0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Krajský in</w:t>
            </w:r>
            <w:r w:rsidR="00C019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estor </w:t>
            </w:r>
            <w:r w:rsidR="00D97E0F">
              <w:rPr>
                <w:rFonts w:ascii="Times New Roman" w:hAnsi="Times New Roman" w:cs="Times New Roman"/>
                <w:sz w:val="24"/>
                <w:szCs w:val="24"/>
              </w:rPr>
              <w:t xml:space="preserve">bytovej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občianskej výstavby v Nitre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 (1957 – 1960)</w:t>
            </w:r>
            <w:r w:rsidR="005E04FC">
              <w:rPr>
                <w:rFonts w:ascii="Times New Roman" w:hAnsi="Times New Roman" w:cs="Times New Roman"/>
                <w:sz w:val="24"/>
                <w:szCs w:val="24"/>
              </w:rPr>
              <w:t>, inventár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 – Šaľa 1981</w:t>
            </w:r>
            <w:r w:rsidR="002A5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F60CD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r w:rsidR="00901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B09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>evidenčné číslo</w:t>
            </w:r>
            <w:r w:rsidR="00FA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92F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4F3EBB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05" w:type="dxa"/>
            <w:vAlign w:val="center"/>
          </w:tcPr>
          <w:p w:rsidR="00EF1790" w:rsidRPr="005B4726" w:rsidRDefault="00EF1790" w:rsidP="00EF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Vyhľadávacie 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môcky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originals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14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Ministerstvo vnútra SR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Štátny archív v</w:t>
            </w:r>
            <w:r w:rsidR="00FF5DCF" w:rsidRPr="005B4726">
              <w:rPr>
                <w:rFonts w:ascii="Times New Roman" w:hAnsi="Times New Roman" w:cs="Times New Roman"/>
                <w:sz w:val="24"/>
                <w:szCs w:val="24"/>
              </w:rPr>
              <w:t> Nitre, Novozámocká 273, 951 12 Ivanka pri Nitre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umiestnenie orig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nálov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copies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B5899" w:rsidP="00FB5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Archívny fond nie je v súčasnosti digitalizovaný. Nie sú vyhotovené ani konzervačné kópie.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Existencia a 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kópií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0F780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Nie sú známe.</w:t>
            </w:r>
          </w:p>
        </w:tc>
        <w:tc>
          <w:tcPr>
            <w:tcW w:w="2205" w:type="dxa"/>
          </w:tcPr>
          <w:p w:rsidR="00F01588" w:rsidRPr="005B4726" w:rsidRDefault="00EF1790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Súvisiace jednotky opisu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2352" w:type="dxa"/>
            <w:vAlign w:val="center"/>
          </w:tcPr>
          <w:p w:rsidR="00F01588" w:rsidRPr="005B4726" w:rsidRDefault="00D445B5" w:rsidP="004B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="00F01588"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614" w:type="dxa"/>
            <w:vAlign w:val="center"/>
          </w:tcPr>
          <w:p w:rsidR="00F01588" w:rsidRPr="005B4726" w:rsidRDefault="00511069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sú informácie o publikovaní.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Informácie o publ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kovaní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614" w:type="dxa"/>
            <w:vAlign w:val="center"/>
          </w:tcPr>
          <w:p w:rsidR="00F01588" w:rsidRPr="005B4726" w:rsidRDefault="004F3EBB" w:rsidP="00FF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˗</w:t>
            </w:r>
          </w:p>
        </w:tc>
        <w:tc>
          <w:tcPr>
            <w:tcW w:w="2205" w:type="dxa"/>
          </w:tcPr>
          <w:p w:rsidR="00F01588" w:rsidRPr="005B4726" w:rsidRDefault="00F01588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Archivist´s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note</w:t>
            </w:r>
          </w:p>
        </w:tc>
        <w:tc>
          <w:tcPr>
            <w:tcW w:w="8614" w:type="dxa"/>
            <w:vAlign w:val="center"/>
          </w:tcPr>
          <w:p w:rsidR="00F01588" w:rsidRPr="005B4726" w:rsidRDefault="004F3EBB" w:rsidP="00FF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Mgr. Attila Fazekas</w:t>
            </w:r>
          </w:p>
        </w:tc>
        <w:tc>
          <w:tcPr>
            <w:tcW w:w="2205" w:type="dxa"/>
          </w:tcPr>
          <w:p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Informácia o spracovateľovi a spracovaní</w:t>
            </w:r>
          </w:p>
        </w:tc>
      </w:tr>
      <w:tr w:rsidR="00F01588" w:rsidRPr="005B4726" w:rsidTr="0054480D">
        <w:tc>
          <w:tcPr>
            <w:tcW w:w="1049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2352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conventions</w:t>
            </w:r>
            <w:proofErr w:type="spellEnd"/>
          </w:p>
        </w:tc>
        <w:tc>
          <w:tcPr>
            <w:tcW w:w="8614" w:type="dxa"/>
            <w:vAlign w:val="center"/>
          </w:tcPr>
          <w:p w:rsidR="00F01588" w:rsidRPr="005B4726" w:rsidRDefault="00F01588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Opis bol vyhotovený podľa ISAD(G):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Archival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cription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2205" w:type="dxa"/>
          </w:tcPr>
          <w:p w:rsidR="00F01588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Pravidlá alebo zás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</w:t>
            </w:r>
          </w:p>
        </w:tc>
      </w:tr>
      <w:tr w:rsidR="00E35B45" w:rsidRPr="005B4726" w:rsidTr="0054480D">
        <w:tc>
          <w:tcPr>
            <w:tcW w:w="1049" w:type="dxa"/>
            <w:vAlign w:val="center"/>
          </w:tcPr>
          <w:p w:rsidR="00E35B45" w:rsidRPr="005B4726" w:rsidRDefault="00E35B45" w:rsidP="00B61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3.7.3.</w:t>
            </w:r>
          </w:p>
        </w:tc>
        <w:tc>
          <w:tcPr>
            <w:tcW w:w="2352" w:type="dxa"/>
            <w:vAlign w:val="center"/>
          </w:tcPr>
          <w:p w:rsidR="00E35B45" w:rsidRPr="005B4726" w:rsidRDefault="00E35B45" w:rsidP="00B61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descri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tions</w:t>
            </w:r>
            <w:proofErr w:type="spellEnd"/>
          </w:p>
        </w:tc>
        <w:tc>
          <w:tcPr>
            <w:tcW w:w="8614" w:type="dxa"/>
            <w:vAlign w:val="center"/>
          </w:tcPr>
          <w:p w:rsidR="00E35B45" w:rsidRPr="005B4726" w:rsidRDefault="007C75D0" w:rsidP="0076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7808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0F7808" w:rsidRPr="005B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08" w:rsidRPr="005B47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453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:rsidR="00E35B45" w:rsidRPr="005B4726" w:rsidRDefault="00E35B45" w:rsidP="0065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26">
              <w:rPr>
                <w:rFonts w:ascii="Times New Roman" w:hAnsi="Times New Roman" w:cs="Times New Roman"/>
                <w:sz w:val="24"/>
                <w:szCs w:val="24"/>
              </w:rPr>
              <w:t>Dátum vyhotovenia opisu</w:t>
            </w:r>
          </w:p>
        </w:tc>
      </w:tr>
    </w:tbl>
    <w:p w:rsidR="00E35B45" w:rsidRPr="005B4726" w:rsidRDefault="00E35B45" w:rsidP="00A36CA5">
      <w:pPr>
        <w:rPr>
          <w:sz w:val="24"/>
          <w:szCs w:val="24"/>
        </w:rPr>
      </w:pPr>
    </w:p>
    <w:sectPr w:rsidR="00E35B45" w:rsidRPr="005B4726" w:rsidSect="0032213B"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F2" w:rsidRDefault="00D638F2" w:rsidP="004C473D">
      <w:pPr>
        <w:spacing w:after="0" w:line="240" w:lineRule="auto"/>
      </w:pPr>
      <w:r>
        <w:separator/>
      </w:r>
    </w:p>
  </w:endnote>
  <w:endnote w:type="continuationSeparator" w:id="0">
    <w:p w:rsidR="00D638F2" w:rsidRDefault="00D638F2" w:rsidP="004C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44" w:rsidRDefault="00087C44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87C44" w:rsidRDefault="00087C44" w:rsidP="005421A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44" w:rsidRDefault="00087C44" w:rsidP="00CF6BC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277D">
      <w:rPr>
        <w:rStyle w:val="slostrany"/>
        <w:noProof/>
      </w:rPr>
      <w:t>5</w:t>
    </w:r>
    <w:r>
      <w:rPr>
        <w:rStyle w:val="slostrany"/>
      </w:rPr>
      <w:fldChar w:fldCharType="end"/>
    </w:r>
  </w:p>
  <w:p w:rsidR="00087C44" w:rsidRDefault="00087C44" w:rsidP="005421A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F2" w:rsidRDefault="00D638F2" w:rsidP="004C473D">
      <w:pPr>
        <w:spacing w:after="0" w:line="240" w:lineRule="auto"/>
      </w:pPr>
      <w:r>
        <w:separator/>
      </w:r>
    </w:p>
  </w:footnote>
  <w:footnote w:type="continuationSeparator" w:id="0">
    <w:p w:rsidR="00D638F2" w:rsidRDefault="00D638F2" w:rsidP="004C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D2"/>
    <w:multiLevelType w:val="singleLevel"/>
    <w:tmpl w:val="62887A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A593771"/>
    <w:multiLevelType w:val="hybridMultilevel"/>
    <w:tmpl w:val="E14E30C0"/>
    <w:lvl w:ilvl="0" w:tplc="F8D81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30C4"/>
    <w:multiLevelType w:val="hybridMultilevel"/>
    <w:tmpl w:val="FF34285C"/>
    <w:lvl w:ilvl="0" w:tplc="19648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328B6"/>
    <w:multiLevelType w:val="hybridMultilevel"/>
    <w:tmpl w:val="9C46D5EE"/>
    <w:lvl w:ilvl="0" w:tplc="FD8A4AF8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1D4F29D5"/>
    <w:multiLevelType w:val="hybridMultilevel"/>
    <w:tmpl w:val="FC7CEB80"/>
    <w:lvl w:ilvl="0" w:tplc="21E23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6B3D0B"/>
    <w:multiLevelType w:val="hybridMultilevel"/>
    <w:tmpl w:val="914EBF62"/>
    <w:lvl w:ilvl="0" w:tplc="CAAA95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2F5"/>
    <w:multiLevelType w:val="singleLevel"/>
    <w:tmpl w:val="230021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52643FE"/>
    <w:multiLevelType w:val="hybridMultilevel"/>
    <w:tmpl w:val="3C5C27D2"/>
    <w:lvl w:ilvl="0" w:tplc="99A865B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39A525D7"/>
    <w:multiLevelType w:val="hybridMultilevel"/>
    <w:tmpl w:val="482AC52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44074"/>
    <w:multiLevelType w:val="hybridMultilevel"/>
    <w:tmpl w:val="26F0240E"/>
    <w:lvl w:ilvl="0" w:tplc="D7FC5ED2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2C67709"/>
    <w:multiLevelType w:val="hybridMultilevel"/>
    <w:tmpl w:val="3356DF02"/>
    <w:lvl w:ilvl="0" w:tplc="C9566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C6E40"/>
    <w:multiLevelType w:val="hybridMultilevel"/>
    <w:tmpl w:val="F2843F12"/>
    <w:lvl w:ilvl="0" w:tplc="CB8AF3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11C6D"/>
    <w:multiLevelType w:val="hybridMultilevel"/>
    <w:tmpl w:val="E9ECBC7C"/>
    <w:lvl w:ilvl="0" w:tplc="00F28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49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5624D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82C91"/>
    <w:multiLevelType w:val="hybridMultilevel"/>
    <w:tmpl w:val="19CC2232"/>
    <w:lvl w:ilvl="0" w:tplc="30242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E3D3F"/>
    <w:multiLevelType w:val="hybridMultilevel"/>
    <w:tmpl w:val="0BBA36E6"/>
    <w:lvl w:ilvl="0" w:tplc="4B2686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A2915"/>
    <w:multiLevelType w:val="hybridMultilevel"/>
    <w:tmpl w:val="9750867E"/>
    <w:lvl w:ilvl="0" w:tplc="274013E4">
      <w:start w:val="1"/>
      <w:numFmt w:val="upp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75121A0"/>
    <w:multiLevelType w:val="hybridMultilevel"/>
    <w:tmpl w:val="83549C66"/>
    <w:lvl w:ilvl="0" w:tplc="38AA53C8">
      <w:start w:val="1"/>
      <w:numFmt w:val="upperRoman"/>
      <w:lvlText w:val="%1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5"/>
  </w:num>
  <w:num w:numId="11">
    <w:abstractNumId w:val="10"/>
  </w:num>
  <w:num w:numId="12">
    <w:abstractNumId w:val="16"/>
  </w:num>
  <w:num w:numId="13">
    <w:abstractNumId w:val="9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1"/>
    <w:rsid w:val="0000335F"/>
    <w:rsid w:val="00003A70"/>
    <w:rsid w:val="000045F3"/>
    <w:rsid w:val="000100DD"/>
    <w:rsid w:val="000169EF"/>
    <w:rsid w:val="00020DF7"/>
    <w:rsid w:val="00023631"/>
    <w:rsid w:val="000276D5"/>
    <w:rsid w:val="000352F2"/>
    <w:rsid w:val="0004039F"/>
    <w:rsid w:val="00061A0B"/>
    <w:rsid w:val="00071D0E"/>
    <w:rsid w:val="0007237E"/>
    <w:rsid w:val="00077279"/>
    <w:rsid w:val="000812A8"/>
    <w:rsid w:val="00082ED9"/>
    <w:rsid w:val="00083366"/>
    <w:rsid w:val="00087C44"/>
    <w:rsid w:val="000B2663"/>
    <w:rsid w:val="000B7F92"/>
    <w:rsid w:val="000C1915"/>
    <w:rsid w:val="000C1EE5"/>
    <w:rsid w:val="000C602E"/>
    <w:rsid w:val="000D1FDD"/>
    <w:rsid w:val="000D2E92"/>
    <w:rsid w:val="000D4A13"/>
    <w:rsid w:val="000D6071"/>
    <w:rsid w:val="000F5BEF"/>
    <w:rsid w:val="000F7808"/>
    <w:rsid w:val="001009AC"/>
    <w:rsid w:val="0010147A"/>
    <w:rsid w:val="001101BB"/>
    <w:rsid w:val="00111B17"/>
    <w:rsid w:val="00125703"/>
    <w:rsid w:val="00126B1E"/>
    <w:rsid w:val="001374E2"/>
    <w:rsid w:val="001403AB"/>
    <w:rsid w:val="00145333"/>
    <w:rsid w:val="001454F4"/>
    <w:rsid w:val="001459C0"/>
    <w:rsid w:val="001530B2"/>
    <w:rsid w:val="00157732"/>
    <w:rsid w:val="0016277D"/>
    <w:rsid w:val="00180466"/>
    <w:rsid w:val="00182B1D"/>
    <w:rsid w:val="001A1F4E"/>
    <w:rsid w:val="001A2AAF"/>
    <w:rsid w:val="001B437E"/>
    <w:rsid w:val="001B497B"/>
    <w:rsid w:val="001E07E1"/>
    <w:rsid w:val="00203D9E"/>
    <w:rsid w:val="00221DE5"/>
    <w:rsid w:val="00225FD6"/>
    <w:rsid w:val="002318F4"/>
    <w:rsid w:val="00251F4E"/>
    <w:rsid w:val="00253CFD"/>
    <w:rsid w:val="002614D9"/>
    <w:rsid w:val="00262797"/>
    <w:rsid w:val="002868FA"/>
    <w:rsid w:val="002A5FE6"/>
    <w:rsid w:val="002A6E59"/>
    <w:rsid w:val="002A76BD"/>
    <w:rsid w:val="002B0C2D"/>
    <w:rsid w:val="002B6A8C"/>
    <w:rsid w:val="002C00C7"/>
    <w:rsid w:val="002C4CB1"/>
    <w:rsid w:val="002C6BFD"/>
    <w:rsid w:val="002D28C9"/>
    <w:rsid w:val="002F4D53"/>
    <w:rsid w:val="002F6DB3"/>
    <w:rsid w:val="00303741"/>
    <w:rsid w:val="00306C0E"/>
    <w:rsid w:val="0032213B"/>
    <w:rsid w:val="003275C2"/>
    <w:rsid w:val="00331EC5"/>
    <w:rsid w:val="00347BFF"/>
    <w:rsid w:val="003569FF"/>
    <w:rsid w:val="003653F0"/>
    <w:rsid w:val="00374AC4"/>
    <w:rsid w:val="00374F84"/>
    <w:rsid w:val="00376032"/>
    <w:rsid w:val="00385C3B"/>
    <w:rsid w:val="00387984"/>
    <w:rsid w:val="00394F47"/>
    <w:rsid w:val="003A67C5"/>
    <w:rsid w:val="003C5D60"/>
    <w:rsid w:val="003D72F2"/>
    <w:rsid w:val="003D7D7D"/>
    <w:rsid w:val="003E2D8F"/>
    <w:rsid w:val="004418B3"/>
    <w:rsid w:val="004443A5"/>
    <w:rsid w:val="0044554A"/>
    <w:rsid w:val="00454235"/>
    <w:rsid w:val="00462B85"/>
    <w:rsid w:val="00463ADE"/>
    <w:rsid w:val="00466E7A"/>
    <w:rsid w:val="0047337C"/>
    <w:rsid w:val="004868A2"/>
    <w:rsid w:val="00496F5F"/>
    <w:rsid w:val="004B0BAD"/>
    <w:rsid w:val="004B3426"/>
    <w:rsid w:val="004C117E"/>
    <w:rsid w:val="004C473D"/>
    <w:rsid w:val="004D5AED"/>
    <w:rsid w:val="004D5BAA"/>
    <w:rsid w:val="004D7DD4"/>
    <w:rsid w:val="004E07CE"/>
    <w:rsid w:val="004E3D15"/>
    <w:rsid w:val="004F3EBB"/>
    <w:rsid w:val="00502B67"/>
    <w:rsid w:val="00511069"/>
    <w:rsid w:val="00512D7D"/>
    <w:rsid w:val="00516398"/>
    <w:rsid w:val="00516606"/>
    <w:rsid w:val="005228D3"/>
    <w:rsid w:val="005258F9"/>
    <w:rsid w:val="00526346"/>
    <w:rsid w:val="00526B09"/>
    <w:rsid w:val="005421AC"/>
    <w:rsid w:val="0054480D"/>
    <w:rsid w:val="00561521"/>
    <w:rsid w:val="00563624"/>
    <w:rsid w:val="00584416"/>
    <w:rsid w:val="00591610"/>
    <w:rsid w:val="005B4726"/>
    <w:rsid w:val="005B7887"/>
    <w:rsid w:val="005C192D"/>
    <w:rsid w:val="005C6CFF"/>
    <w:rsid w:val="005D1D5E"/>
    <w:rsid w:val="005D252F"/>
    <w:rsid w:val="005E04FC"/>
    <w:rsid w:val="005F5311"/>
    <w:rsid w:val="005F691A"/>
    <w:rsid w:val="00600013"/>
    <w:rsid w:val="00623775"/>
    <w:rsid w:val="0063417C"/>
    <w:rsid w:val="00646A1F"/>
    <w:rsid w:val="00654619"/>
    <w:rsid w:val="0065465A"/>
    <w:rsid w:val="006642D4"/>
    <w:rsid w:val="00690248"/>
    <w:rsid w:val="00690275"/>
    <w:rsid w:val="006953FC"/>
    <w:rsid w:val="00695CE1"/>
    <w:rsid w:val="006A2A6F"/>
    <w:rsid w:val="006B22F8"/>
    <w:rsid w:val="006B5A47"/>
    <w:rsid w:val="006B7665"/>
    <w:rsid w:val="006C685F"/>
    <w:rsid w:val="006D4436"/>
    <w:rsid w:val="006D6270"/>
    <w:rsid w:val="006E57FE"/>
    <w:rsid w:val="006F7042"/>
    <w:rsid w:val="007034AB"/>
    <w:rsid w:val="00703CC2"/>
    <w:rsid w:val="00705837"/>
    <w:rsid w:val="007141AD"/>
    <w:rsid w:val="00715772"/>
    <w:rsid w:val="007248EB"/>
    <w:rsid w:val="00734225"/>
    <w:rsid w:val="00745FA3"/>
    <w:rsid w:val="007578B2"/>
    <w:rsid w:val="0076357E"/>
    <w:rsid w:val="0076473F"/>
    <w:rsid w:val="00774643"/>
    <w:rsid w:val="00774E6C"/>
    <w:rsid w:val="00780831"/>
    <w:rsid w:val="00787B99"/>
    <w:rsid w:val="00787E29"/>
    <w:rsid w:val="00794460"/>
    <w:rsid w:val="00797C16"/>
    <w:rsid w:val="007A3EA2"/>
    <w:rsid w:val="007A5A7B"/>
    <w:rsid w:val="007A6E61"/>
    <w:rsid w:val="007B34EF"/>
    <w:rsid w:val="007C28E5"/>
    <w:rsid w:val="007C65CE"/>
    <w:rsid w:val="007C75D0"/>
    <w:rsid w:val="007F385C"/>
    <w:rsid w:val="00800DC1"/>
    <w:rsid w:val="008144A7"/>
    <w:rsid w:val="00814E42"/>
    <w:rsid w:val="00843869"/>
    <w:rsid w:val="0084388F"/>
    <w:rsid w:val="00861A12"/>
    <w:rsid w:val="0086743A"/>
    <w:rsid w:val="00871BDF"/>
    <w:rsid w:val="00874846"/>
    <w:rsid w:val="008759C1"/>
    <w:rsid w:val="008A2B94"/>
    <w:rsid w:val="008B077F"/>
    <w:rsid w:val="008B4233"/>
    <w:rsid w:val="008B5756"/>
    <w:rsid w:val="008C0496"/>
    <w:rsid w:val="008C39CF"/>
    <w:rsid w:val="008C5744"/>
    <w:rsid w:val="008D3E65"/>
    <w:rsid w:val="008E0159"/>
    <w:rsid w:val="008E3B7F"/>
    <w:rsid w:val="008F2827"/>
    <w:rsid w:val="00901223"/>
    <w:rsid w:val="009041B7"/>
    <w:rsid w:val="00906C94"/>
    <w:rsid w:val="00917A16"/>
    <w:rsid w:val="00917D6A"/>
    <w:rsid w:val="0092351F"/>
    <w:rsid w:val="00952253"/>
    <w:rsid w:val="009522FE"/>
    <w:rsid w:val="00961CC0"/>
    <w:rsid w:val="00964D0D"/>
    <w:rsid w:val="00976765"/>
    <w:rsid w:val="00977CA2"/>
    <w:rsid w:val="00981A50"/>
    <w:rsid w:val="00985CA1"/>
    <w:rsid w:val="00986AE0"/>
    <w:rsid w:val="00995C46"/>
    <w:rsid w:val="00995E8D"/>
    <w:rsid w:val="009A1BF9"/>
    <w:rsid w:val="009A32D4"/>
    <w:rsid w:val="009D07AB"/>
    <w:rsid w:val="009E6ED1"/>
    <w:rsid w:val="009F09AA"/>
    <w:rsid w:val="009F09D7"/>
    <w:rsid w:val="00A11521"/>
    <w:rsid w:val="00A15716"/>
    <w:rsid w:val="00A2146A"/>
    <w:rsid w:val="00A36CA5"/>
    <w:rsid w:val="00A37045"/>
    <w:rsid w:val="00A410C2"/>
    <w:rsid w:val="00A43982"/>
    <w:rsid w:val="00A45D20"/>
    <w:rsid w:val="00A621E8"/>
    <w:rsid w:val="00A63329"/>
    <w:rsid w:val="00A700E8"/>
    <w:rsid w:val="00A75F8A"/>
    <w:rsid w:val="00A80DA2"/>
    <w:rsid w:val="00A86B3A"/>
    <w:rsid w:val="00A93473"/>
    <w:rsid w:val="00A94481"/>
    <w:rsid w:val="00A95AD7"/>
    <w:rsid w:val="00AA323D"/>
    <w:rsid w:val="00AB5C7C"/>
    <w:rsid w:val="00AD18F2"/>
    <w:rsid w:val="00AE0B32"/>
    <w:rsid w:val="00AF1DB0"/>
    <w:rsid w:val="00AF3A00"/>
    <w:rsid w:val="00AF6B22"/>
    <w:rsid w:val="00B3773A"/>
    <w:rsid w:val="00B4395D"/>
    <w:rsid w:val="00B44083"/>
    <w:rsid w:val="00B44F01"/>
    <w:rsid w:val="00B44FA4"/>
    <w:rsid w:val="00B45935"/>
    <w:rsid w:val="00B50769"/>
    <w:rsid w:val="00B56BD5"/>
    <w:rsid w:val="00B61283"/>
    <w:rsid w:val="00B67ECA"/>
    <w:rsid w:val="00B71F9B"/>
    <w:rsid w:val="00B860F6"/>
    <w:rsid w:val="00B932DD"/>
    <w:rsid w:val="00BA2954"/>
    <w:rsid w:val="00BA313B"/>
    <w:rsid w:val="00BA5A24"/>
    <w:rsid w:val="00BA7E4C"/>
    <w:rsid w:val="00BC0C29"/>
    <w:rsid w:val="00BC6EF0"/>
    <w:rsid w:val="00BF47B1"/>
    <w:rsid w:val="00C00538"/>
    <w:rsid w:val="00C0192F"/>
    <w:rsid w:val="00C0207E"/>
    <w:rsid w:val="00C1771D"/>
    <w:rsid w:val="00C22362"/>
    <w:rsid w:val="00C22A3B"/>
    <w:rsid w:val="00C274F6"/>
    <w:rsid w:val="00C34508"/>
    <w:rsid w:val="00C47436"/>
    <w:rsid w:val="00C50F08"/>
    <w:rsid w:val="00C524CD"/>
    <w:rsid w:val="00C52CF3"/>
    <w:rsid w:val="00C61C9E"/>
    <w:rsid w:val="00C65314"/>
    <w:rsid w:val="00C7337A"/>
    <w:rsid w:val="00C73593"/>
    <w:rsid w:val="00C91C2C"/>
    <w:rsid w:val="00CA6D71"/>
    <w:rsid w:val="00CB4AC9"/>
    <w:rsid w:val="00CD74A4"/>
    <w:rsid w:val="00CE4BC3"/>
    <w:rsid w:val="00CF0F4B"/>
    <w:rsid w:val="00CF6BC3"/>
    <w:rsid w:val="00CF7736"/>
    <w:rsid w:val="00D0421D"/>
    <w:rsid w:val="00D048BD"/>
    <w:rsid w:val="00D07DAC"/>
    <w:rsid w:val="00D12A1E"/>
    <w:rsid w:val="00D201DF"/>
    <w:rsid w:val="00D426F5"/>
    <w:rsid w:val="00D43D0E"/>
    <w:rsid w:val="00D445B5"/>
    <w:rsid w:val="00D46C00"/>
    <w:rsid w:val="00D47DB3"/>
    <w:rsid w:val="00D6193D"/>
    <w:rsid w:val="00D61C5C"/>
    <w:rsid w:val="00D638F2"/>
    <w:rsid w:val="00D668A6"/>
    <w:rsid w:val="00D67B9F"/>
    <w:rsid w:val="00D74365"/>
    <w:rsid w:val="00D846B6"/>
    <w:rsid w:val="00D87F03"/>
    <w:rsid w:val="00D9447A"/>
    <w:rsid w:val="00D96D4A"/>
    <w:rsid w:val="00D97E0F"/>
    <w:rsid w:val="00DA07B5"/>
    <w:rsid w:val="00DA6306"/>
    <w:rsid w:val="00DB36EA"/>
    <w:rsid w:val="00DB6EE1"/>
    <w:rsid w:val="00DC3F60"/>
    <w:rsid w:val="00DE6A38"/>
    <w:rsid w:val="00DE7FCB"/>
    <w:rsid w:val="00DF0671"/>
    <w:rsid w:val="00DF305E"/>
    <w:rsid w:val="00DF5E16"/>
    <w:rsid w:val="00DF7A20"/>
    <w:rsid w:val="00E000E7"/>
    <w:rsid w:val="00E001B7"/>
    <w:rsid w:val="00E03EB4"/>
    <w:rsid w:val="00E13088"/>
    <w:rsid w:val="00E25592"/>
    <w:rsid w:val="00E31B93"/>
    <w:rsid w:val="00E33621"/>
    <w:rsid w:val="00E35B45"/>
    <w:rsid w:val="00E41542"/>
    <w:rsid w:val="00E416B0"/>
    <w:rsid w:val="00E43C4D"/>
    <w:rsid w:val="00E46993"/>
    <w:rsid w:val="00E5439F"/>
    <w:rsid w:val="00E620CF"/>
    <w:rsid w:val="00E6769C"/>
    <w:rsid w:val="00E721D3"/>
    <w:rsid w:val="00E847DE"/>
    <w:rsid w:val="00E90447"/>
    <w:rsid w:val="00E9388A"/>
    <w:rsid w:val="00EB0343"/>
    <w:rsid w:val="00EB0B70"/>
    <w:rsid w:val="00EB4DEF"/>
    <w:rsid w:val="00EB6374"/>
    <w:rsid w:val="00EE394F"/>
    <w:rsid w:val="00EF1790"/>
    <w:rsid w:val="00EF2B11"/>
    <w:rsid w:val="00F000E7"/>
    <w:rsid w:val="00F01588"/>
    <w:rsid w:val="00F16547"/>
    <w:rsid w:val="00F16F81"/>
    <w:rsid w:val="00F31FEB"/>
    <w:rsid w:val="00F51FD3"/>
    <w:rsid w:val="00F5351F"/>
    <w:rsid w:val="00F552CC"/>
    <w:rsid w:val="00F726FB"/>
    <w:rsid w:val="00F738D9"/>
    <w:rsid w:val="00F74B54"/>
    <w:rsid w:val="00F77EF7"/>
    <w:rsid w:val="00F94D7B"/>
    <w:rsid w:val="00F95B8B"/>
    <w:rsid w:val="00FA2D8C"/>
    <w:rsid w:val="00FA3DFA"/>
    <w:rsid w:val="00FB3244"/>
    <w:rsid w:val="00FB39F2"/>
    <w:rsid w:val="00FB48EC"/>
    <w:rsid w:val="00FB4F2A"/>
    <w:rsid w:val="00FB5899"/>
    <w:rsid w:val="00FB77BC"/>
    <w:rsid w:val="00FC0ABD"/>
    <w:rsid w:val="00FC3B85"/>
    <w:rsid w:val="00FD1F93"/>
    <w:rsid w:val="00FD493E"/>
    <w:rsid w:val="00FF5072"/>
    <w:rsid w:val="00FF5DCF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unhideWhenUsed="0"/>
    <w:lsdException w:name="caption" w:uiPriority="35" w:qFormat="1"/>
    <w:lsdException w:name="footnote reference" w:uiPriority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B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A157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5421A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DA5BA0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5421AC"/>
  </w:style>
  <w:style w:type="character" w:styleId="Odkaznapoznmkupodiarou">
    <w:name w:val="footnote reference"/>
    <w:semiHidden/>
    <w:rsid w:val="00D47DB3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D47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sk-SK"/>
    </w:rPr>
  </w:style>
  <w:style w:type="character" w:customStyle="1" w:styleId="TextpoznmkypodiarouChar">
    <w:name w:val="Text poznámky pod čiarou Char"/>
    <w:link w:val="Textpoznmkypodiarou"/>
    <w:semiHidden/>
    <w:rsid w:val="00D47DB3"/>
    <w:rPr>
      <w:rFonts w:ascii="Times New Roman" w:eastAsia="Times New Roman" w:hAnsi="Times New Roman"/>
      <w:lang w:val="de-DE"/>
    </w:rPr>
  </w:style>
  <w:style w:type="paragraph" w:styleId="Zkladntext">
    <w:name w:val="Body Text"/>
    <w:basedOn w:val="Normlny"/>
    <w:link w:val="ZkladntextChar"/>
    <w:semiHidden/>
    <w:rsid w:val="00917D6A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link w:val="Zkladntext"/>
    <w:semiHidden/>
    <w:rsid w:val="00917D6A"/>
    <w:rPr>
      <w:rFonts w:ascii="Times New Roman" w:eastAsia="Times New Roman" w:hAnsi="Times New Roman"/>
      <w:sz w:val="22"/>
      <w:szCs w:val="24"/>
    </w:rPr>
  </w:style>
  <w:style w:type="character" w:styleId="Odkaznakomentr">
    <w:name w:val="annotation reference"/>
    <w:uiPriority w:val="99"/>
    <w:semiHidden/>
    <w:unhideWhenUsed/>
    <w:rsid w:val="006D4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43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D4436"/>
    <w:rPr>
      <w:rFonts w:cs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43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D4436"/>
    <w:rPr>
      <w:rFonts w:cs="Calibri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4436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B0B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B0BAD"/>
    <w:rPr>
      <w:rFonts w:cs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0001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60001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CE13-C754-4F4F-9F58-B14DE91F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Štátne zastupiteľstvo v Bratislave 1919-1949 (1950)</vt:lpstr>
    </vt:vector>
  </TitlesOfParts>
  <Company>MV SR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Štátne zastupiteľstvo v Bratislave 1919-1949 (1950)</dc:title>
  <dc:creator>M</dc:creator>
  <cp:lastModifiedBy>Attila Fazekas</cp:lastModifiedBy>
  <cp:revision>10</cp:revision>
  <dcterms:created xsi:type="dcterms:W3CDTF">2019-12-05T14:02:00Z</dcterms:created>
  <dcterms:modified xsi:type="dcterms:W3CDTF">2019-12-13T09:38:00Z</dcterms:modified>
</cp:coreProperties>
</file>