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5B4726" w:rsidRDefault="005C192D" w:rsidP="00C9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Krajský investor </w:t>
      </w:r>
      <w:r w:rsidR="00B439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bytovej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občianskej výstavby v Nitre 1957</w:t>
      </w:r>
      <w:r w:rsidR="009A3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228D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7C7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1960</w:t>
      </w:r>
      <w:r w:rsidR="00C6531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4C473D" w:rsidRPr="005B4726">
        <w:rPr>
          <w:rFonts w:ascii="Times New Roman" w:hAnsi="Times New Roman" w:cs="Times New Roman"/>
          <w:b/>
          <w:sz w:val="24"/>
          <w:szCs w:val="24"/>
        </w:rPr>
        <w:t>Opis</w:t>
      </w:r>
      <w:r w:rsidR="002C6BFD" w:rsidRPr="005B4726">
        <w:rPr>
          <w:rFonts w:ascii="Times New Roman" w:hAnsi="Times New Roman" w:cs="Times New Roman"/>
          <w:b/>
          <w:sz w:val="24"/>
          <w:szCs w:val="24"/>
        </w:rPr>
        <w:t xml:space="preserve"> na úrovni</w:t>
      </w:r>
      <w:r w:rsidR="004C473D" w:rsidRPr="005B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5C" w:rsidRPr="005B4726">
        <w:rPr>
          <w:rFonts w:ascii="Times New Roman" w:hAnsi="Times New Roman" w:cs="Times New Roman"/>
          <w:b/>
          <w:sz w:val="24"/>
          <w:szCs w:val="24"/>
        </w:rPr>
        <w:t>archívne</w:t>
      </w:r>
      <w:r w:rsidR="00600013" w:rsidRPr="005B4726">
        <w:rPr>
          <w:rFonts w:ascii="Times New Roman" w:hAnsi="Times New Roman" w:cs="Times New Roman"/>
          <w:b/>
          <w:sz w:val="24"/>
          <w:szCs w:val="24"/>
        </w:rPr>
        <w:t>ho</w:t>
      </w:r>
      <w:r w:rsidR="00D61C5C" w:rsidRPr="005B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13" w:rsidRPr="005B4726">
        <w:rPr>
          <w:rFonts w:ascii="Times New Roman" w:hAnsi="Times New Roman" w:cs="Times New Roman"/>
          <w:b/>
          <w:sz w:val="24"/>
          <w:szCs w:val="24"/>
        </w:rPr>
        <w:t>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614"/>
        <w:gridCol w:w="2205"/>
      </w:tblGrid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614" w:type="dxa"/>
            <w:vAlign w:val="center"/>
          </w:tcPr>
          <w:p w:rsidR="00F01588" w:rsidRPr="005B4726" w:rsidRDefault="00BA5A24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01588"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bsah</w:t>
            </w:r>
          </w:p>
        </w:tc>
        <w:tc>
          <w:tcPr>
            <w:tcW w:w="2205" w:type="dxa"/>
            <w:vAlign w:val="center"/>
          </w:tcPr>
          <w:p w:rsidR="00F01588" w:rsidRPr="005B4726" w:rsidRDefault="00DF5E16" w:rsidP="00C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5B4726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5B4726" w:rsidRDefault="004D5AED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C0ABD" w:rsidP="009A3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SK_1550_7320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5B4726" w:rsidRDefault="00A94481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5C192D" w:rsidP="00C0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investor</w:t>
            </w:r>
            <w:r w:rsidR="00B4395D">
              <w:rPr>
                <w:rFonts w:ascii="Times New Roman" w:hAnsi="Times New Roman" w:cs="Times New Roman"/>
                <w:sz w:val="24"/>
                <w:szCs w:val="24"/>
              </w:rPr>
              <w:t xml:space="preserve"> bytovej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občianskej výstavby v Nitre 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614" w:type="dxa"/>
            <w:vAlign w:val="center"/>
          </w:tcPr>
          <w:p w:rsidR="00F01588" w:rsidRPr="005B4726" w:rsidRDefault="005C192D" w:rsidP="0014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– 1960</w:t>
            </w:r>
            <w:r w:rsidR="0030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600013" w:rsidP="00FB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4" w:type="dxa"/>
            <w:vAlign w:val="center"/>
          </w:tcPr>
          <w:p w:rsidR="00F01588" w:rsidRPr="005B4726" w:rsidRDefault="00FC0ABD" w:rsidP="0071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 bm (51 škatúľ spisov)</w:t>
            </w:r>
          </w:p>
        </w:tc>
        <w:tc>
          <w:tcPr>
            <w:tcW w:w="2205" w:type="dxa"/>
            <w:vAlign w:val="center"/>
          </w:tcPr>
          <w:p w:rsidR="00F01588" w:rsidRPr="005B4726" w:rsidRDefault="00DF5E16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 nosič je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notky opisu (mno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stvo, rozsah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614" w:type="dxa"/>
            <w:vAlign w:val="center"/>
          </w:tcPr>
          <w:p w:rsidR="00F01588" w:rsidRPr="005B4726" w:rsidRDefault="00C0192F" w:rsidP="00B4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2F">
              <w:rPr>
                <w:rFonts w:ascii="Times New Roman" w:hAnsi="Times New Roman" w:cs="Times New Roman"/>
                <w:sz w:val="24"/>
                <w:szCs w:val="24"/>
              </w:rPr>
              <w:t>Krajský investor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92F">
              <w:rPr>
                <w:rFonts w:ascii="Times New Roman" w:hAnsi="Times New Roman" w:cs="Times New Roman"/>
                <w:sz w:val="24"/>
                <w:szCs w:val="24"/>
              </w:rPr>
              <w:t>bytovej a občianskej výstavby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92F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F01588" w:rsidRPr="005B4726" w:rsidRDefault="00DF5E16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600013" w:rsidRPr="005B4726" w:rsidTr="0054480D">
        <w:tc>
          <w:tcPr>
            <w:tcW w:w="1049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8614" w:type="dxa"/>
            <w:vAlign w:val="center"/>
          </w:tcPr>
          <w:p w:rsidR="00331EC5" w:rsidRPr="005B4726" w:rsidRDefault="005C192D" w:rsidP="00B4395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zmysle uznesenia Ústredného výboru Komunistickej strany Československa 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ABD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1956 boli pri národných výboroch zriadené špecializované útvary, ktoré prevzali a sústredili dovtedajšiu činnosť mnohých drobných investo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s cieľom zlepšiť riad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štátnej investičnej výstavby bytov a občianskeho vybavenia sídlisk. Vo vteda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šom Nitrianskom kraji vznikla takáto inštitúcia 1. októbra 1956 s názvom Krajský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vestor bytovej a občianskej výstavby. Prostredníctvom odboru výstavby na Krajskom národnom výbore (KNV) v Nitre 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bol podriadený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Krajského národného výboru v Nitre. Vzhľadom na to, že okrem Nitry sa bytová výstavba vo väčšom rozsahu 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zovala aj v regióne Hornej Nitry, 1. januára 1957 vzniklo odlúčené pracovisko 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>Kra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 xml:space="preserve">ského investora bytovej a občianskej výstavby 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 xml:space="preserve">pri Okresnom národnom výbore (ONV) v Prievidzi. Neskôr sa názov útvaru zmenil na: Generálny investor komplexnej bytovej 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občianskej výstavby pri KNV v Nitre a pri ONV v Prievidzi. Oba tieto orgány pôs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>bili až do územnej reorganizácie krajského zriadenia a ukončili svoju činnosť po zán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>ku dovtedajšieho Nitrianskeho kraja ku dňu 30. júna 1960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600013" w:rsidRPr="005B4726" w:rsidRDefault="00600013" w:rsidP="00DF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správy 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vodcu</w:t>
            </w:r>
          </w:p>
        </w:tc>
      </w:tr>
      <w:tr w:rsidR="00600013" w:rsidRPr="005B4726" w:rsidTr="0054480D">
        <w:tc>
          <w:tcPr>
            <w:tcW w:w="1049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600013" w:rsidRPr="005B4726" w:rsidRDefault="00600013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614" w:type="dxa"/>
          </w:tcPr>
          <w:p w:rsidR="00145333" w:rsidRDefault="00871BDF" w:rsidP="009A1BF9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Viac ako 50 zamestnancov pracovísk pri KNV v Nitre a pri ONV v Prievidzi bolo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radených do organizačnej štruktúry</w:t>
            </w:r>
            <w:r w:rsidR="00511069">
              <w:rPr>
                <w:rFonts w:ascii="Times New Roman" w:hAnsi="Times New Roman" w:cs="Times New Roman"/>
                <w:sz w:val="24"/>
                <w:szCs w:val="24"/>
              </w:rPr>
              <w:t>, ktorej zodpovedala aj registratúra pôvodcu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. sekretariát</w:t>
            </w:r>
            <w:bookmarkStart w:id="0" w:name="_GoBack"/>
            <w:bookmarkEnd w:id="0"/>
            <w:r w:rsidR="00145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plá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novanie a štatistické oddelenie;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technicko-prevádzkové oddele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nie;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dokumen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tačná skupina;</w:t>
            </w:r>
          </w:p>
          <w:p w:rsidR="00145333" w:rsidRDefault="00145333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hospodársko-správna skupina;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stavebno-dopravná sku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pina;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učtáreň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expozi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túra v Prievidzi;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Písomnosti vzniknuté z činnosti týchto oddelení sa členili do ô</w:t>
            </w:r>
            <w:r w:rsidR="00E03EB4">
              <w:rPr>
                <w:rFonts w:ascii="Times New Roman" w:hAnsi="Times New Roman" w:cs="Times New Roman"/>
                <w:sz w:val="24"/>
                <w:szCs w:val="24"/>
              </w:rPr>
              <w:t>smi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ch vecných skupín:</w:t>
            </w:r>
          </w:p>
          <w:p w:rsidR="00145333" w:rsidRDefault="00145333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smernice;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145333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plánovanie;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145333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stavebný dozor;</w:t>
            </w:r>
            <w:r w:rsidR="0087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kon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trolné dni;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Investičné dokla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dy;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výkazy hospodáre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nia;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3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všeobecná korešponde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ncia;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63" w:rsidRDefault="00871BDF" w:rsidP="006B7665">
            <w:pPr>
              <w:pStyle w:val="Zarkazkladnhotextu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stavebná korešponden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cia;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9D7" w:rsidRPr="005B4726" w:rsidRDefault="009F09D7" w:rsidP="00B4395D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zaniknutí pôvodcu bola jeho registratúra pravdepodobne prevzatá novovytvoreným útvarom Generálneho investora komplexnej bytovej a občianskej výstavby pri ONV v Nitre, ktorý po zániku krajského investora zdedil j</w:t>
            </w:r>
            <w:r w:rsidR="00511069">
              <w:rPr>
                <w:rFonts w:ascii="Times New Roman" w:hAnsi="Times New Roman" w:cs="Times New Roman"/>
                <w:sz w:val="24"/>
                <w:szCs w:val="24"/>
              </w:rPr>
              <w:t xml:space="preserve">eho sídlo a časť právomocí pre </w:t>
            </w:r>
            <w:r w:rsidR="00E03EB4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 Nitra. Odtiaľ sa krajská a okresná registratúra, resp. jej zvyšky dostali koncom šesťdesiatych rok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ov do Štátneho archívu v Nitre ako súčasť registratúry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národného podniku (n. p.)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Stavoinvest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Proveniencia dovtedy neusporiadaného a takmer anony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ného súboru písomností sa zistila až pri archívnom spracovaní v roku 1979.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 xml:space="preserve"> K sprac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>vanému archívnemu fondu</w:t>
            </w:r>
            <w:r w:rsidR="00B4395D">
              <w:rPr>
                <w:rFonts w:ascii="Times New Roman" w:hAnsi="Times New Roman" w:cs="Times New Roman"/>
                <w:sz w:val="24"/>
                <w:szCs w:val="24"/>
              </w:rPr>
              <w:t xml:space="preserve"> s názvom Krajský investor bytovej a občianskej výstavby</w:t>
            </w:r>
            <w:r w:rsidR="00C22362">
              <w:rPr>
                <w:rFonts w:ascii="Times New Roman" w:hAnsi="Times New Roman" w:cs="Times New Roman"/>
                <w:sz w:val="24"/>
                <w:szCs w:val="24"/>
              </w:rPr>
              <w:t xml:space="preserve"> bol v roku 1981 vyhotovený inventár. </w:t>
            </w:r>
          </w:p>
        </w:tc>
        <w:tc>
          <w:tcPr>
            <w:tcW w:w="2205" w:type="dxa"/>
            <w:vAlign w:val="center"/>
          </w:tcPr>
          <w:p w:rsidR="00600013" w:rsidRPr="005B4726" w:rsidRDefault="00600013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614" w:type="dxa"/>
            <w:vAlign w:val="center"/>
          </w:tcPr>
          <w:p w:rsidR="00F01588" w:rsidRPr="005B4726" w:rsidRDefault="00FC0ABD" w:rsidP="009A1BF9">
            <w:pPr>
              <w:widowControl w:val="0"/>
              <w:tabs>
                <w:tab w:val="left" w:pos="284"/>
                <w:tab w:val="left" w:pos="11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 bol prevzatý do Štátneho archívu v Nitre 2. februára 1970 pod príras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192F">
              <w:rPr>
                <w:rFonts w:ascii="Times New Roman" w:hAnsi="Times New Roman" w:cs="Times New Roman"/>
                <w:sz w:val="24"/>
                <w:szCs w:val="24"/>
              </w:rPr>
              <w:t>kovým číslom 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614" w:type="dxa"/>
            <w:vAlign w:val="center"/>
          </w:tcPr>
          <w:p w:rsidR="00995C46" w:rsidRPr="005B4726" w:rsidRDefault="009F09D7" w:rsidP="00C0192F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Krajský investor </w:t>
            </w:r>
            <w:r w:rsidR="00B4395D">
              <w:rPr>
                <w:rFonts w:ascii="Times New Roman" w:hAnsi="Times New Roman" w:cs="Times New Roman"/>
                <w:sz w:val="24"/>
                <w:szCs w:val="24"/>
              </w:rPr>
              <w:t xml:space="preserve">bytovej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občianskej výstavby v Nitre pozostáva z 13 inventárnych jednotiek uložených do 51 škatúľ.</w:t>
            </w:r>
            <w:r w:rsidR="001A1F4E">
              <w:rPr>
                <w:rFonts w:ascii="Times New Roman" w:hAnsi="Times New Roman" w:cs="Times New Roman"/>
                <w:sz w:val="24"/>
                <w:szCs w:val="24"/>
              </w:rPr>
              <w:t xml:space="preserve"> Obsahuje údaje o rozsahu a priebehu výstavby sídlisk, ich občianskej vybavenosti a niektorých ďalších verejných objektov v Nitrianskom kraji z obdobia konca päťdesiatych rokov.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chívneho fondu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8614" w:type="dxa"/>
            <w:vAlign w:val="center"/>
          </w:tcPr>
          <w:p w:rsidR="00D445B5" w:rsidRPr="005B4726" w:rsidRDefault="003653F0" w:rsidP="00D8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Informácie o vyraďovaní nie sú známe.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Vyraďovanie a ho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notenie 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E35B45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8B5756" w:rsidRPr="005B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F01588" w:rsidRPr="005B4726" w:rsidRDefault="00EF1790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arrang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8614" w:type="dxa"/>
            <w:vAlign w:val="center"/>
          </w:tcPr>
          <w:p w:rsidR="00DB6EE1" w:rsidRPr="005B4726" w:rsidRDefault="009F09D7" w:rsidP="009F09AA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Inventárnu jednotku v rámci archívneho fondu tvoria písomnosti jednej vecnej skupiny za jeden rok. Poradové čísla im boli pridelené až pri archívnom spracovaní.</w:t>
            </w:r>
            <w:r w:rsidR="001A1F4E">
              <w:rPr>
                <w:rFonts w:ascii="Times New Roman" w:hAnsi="Times New Roman" w:cs="Times New Roman"/>
                <w:sz w:val="24"/>
                <w:szCs w:val="24"/>
              </w:rPr>
              <w:t xml:space="preserve"> Signatúry pozostávajú zo skratky názvu archívneho fondu, ročníka, rímskeho čísla vecnej skup</w:t>
            </w:r>
            <w:r w:rsidR="001A1F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1F4E">
              <w:rPr>
                <w:rFonts w:ascii="Times New Roman" w:hAnsi="Times New Roman" w:cs="Times New Roman"/>
                <w:sz w:val="24"/>
                <w:szCs w:val="24"/>
              </w:rPr>
              <w:t>ny a arabského čísla spisu.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Spôsob usporiad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DF7A20" w:rsidP="00F95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20">
              <w:rPr>
                <w:rFonts w:ascii="Times New Roman" w:hAnsi="Times New Roman" w:cs="Times New Roman"/>
                <w:sz w:val="24"/>
                <w:szCs w:val="24"/>
              </w:rPr>
              <w:t xml:space="preserve">Archívny fond je prístupný v zmysle Zákona č. 395/2002 Z. z. o archívoch a </w:t>
            </w:r>
            <w:proofErr w:type="spellStart"/>
            <w:r w:rsidRPr="00DF7A20">
              <w:rPr>
                <w:rFonts w:ascii="Times New Roman" w:hAnsi="Times New Roman" w:cs="Times New Roman"/>
                <w:sz w:val="24"/>
                <w:szCs w:val="24"/>
              </w:rPr>
              <w:t>registratú-rach</w:t>
            </w:r>
            <w:proofErr w:type="spellEnd"/>
            <w:r w:rsidRPr="00DF7A20">
              <w:rPr>
                <w:rFonts w:ascii="Times New Roman" w:hAnsi="Times New Roman" w:cs="Times New Roman"/>
                <w:sz w:val="24"/>
                <w:szCs w:val="24"/>
              </w:rPr>
              <w:t xml:space="preserve"> a o doplnení niektorých zákonov a v zmysle Zákona č. 18/2018 Z. z. o ochrane osobných údajov a o zmene a doplnení niektorých zákonov.</w:t>
            </w:r>
          </w:p>
        </w:tc>
        <w:tc>
          <w:tcPr>
            <w:tcW w:w="2205" w:type="dxa"/>
            <w:vAlign w:val="center"/>
          </w:tcPr>
          <w:p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Podmienky vyhot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vovania reprodukcií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516398" w:rsidP="0076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Jazyk/písmo archí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nych dokumentov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characteri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tics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614" w:type="dxa"/>
            <w:vAlign w:val="center"/>
          </w:tcPr>
          <w:p w:rsidR="00FB4F2A" w:rsidRPr="005B4726" w:rsidRDefault="009D07AB" w:rsidP="0052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  <w:r w:rsidR="00DF7A20">
              <w:rPr>
                <w:rFonts w:ascii="Times New Roman" w:hAnsi="Times New Roman" w:cs="Times New Roman"/>
                <w:sz w:val="24"/>
                <w:szCs w:val="24"/>
              </w:rPr>
              <w:t>, neúplný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ický stav a technické poži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davky</w:t>
            </w:r>
          </w:p>
        </w:tc>
      </w:tr>
      <w:tr w:rsidR="00EF1790" w:rsidRPr="005B4726" w:rsidTr="0054480D">
        <w:trPr>
          <w:trHeight w:val="1191"/>
        </w:trPr>
        <w:tc>
          <w:tcPr>
            <w:tcW w:w="1049" w:type="dxa"/>
            <w:vAlign w:val="center"/>
          </w:tcPr>
          <w:p w:rsidR="00EF1790" w:rsidRPr="005B4726" w:rsidRDefault="00EF1790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:rsidR="00EF1790" w:rsidRPr="005B4726" w:rsidRDefault="00EF1790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614" w:type="dxa"/>
            <w:vAlign w:val="center"/>
          </w:tcPr>
          <w:p w:rsidR="00745FA3" w:rsidRPr="005B4726" w:rsidRDefault="00FC0ABD" w:rsidP="00C0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oblastný archív v Nitre, pracovisko v Šali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Untermajerová</w:t>
            </w:r>
            <w:proofErr w:type="spellEnd"/>
            <w:r w:rsidR="005E0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Krajský in</w:t>
            </w:r>
            <w:r w:rsidR="00C019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estor </w:t>
            </w:r>
            <w:r w:rsidR="00D97E0F">
              <w:rPr>
                <w:rFonts w:ascii="Times New Roman" w:hAnsi="Times New Roman" w:cs="Times New Roman"/>
                <w:sz w:val="24"/>
                <w:szCs w:val="24"/>
              </w:rPr>
              <w:t xml:space="preserve">bytovej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občianskej výstavby v Nitre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 (1957 – 1960)</w:t>
            </w:r>
            <w:r w:rsidR="005E04FC">
              <w:rPr>
                <w:rFonts w:ascii="Times New Roman" w:hAnsi="Times New Roman" w:cs="Times New Roman"/>
                <w:sz w:val="24"/>
                <w:szCs w:val="24"/>
              </w:rPr>
              <w:t>, inventár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 – Šaľa 1981</w:t>
            </w:r>
            <w:r w:rsidR="002A5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60CD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901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B09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evidenčné číslo</w:t>
            </w:r>
            <w:r w:rsidR="00FA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2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vAlign w:val="center"/>
          </w:tcPr>
          <w:p w:rsidR="00EF1790" w:rsidRPr="005B4726" w:rsidRDefault="00EF1790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Vyhľadávacie 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môcky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01588" w:rsidP="0014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205" w:type="dxa"/>
          </w:tcPr>
          <w:p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Existencia a umiestnenie orig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nálov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B5899" w:rsidP="00F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Archívny fond nie je v súčasnosti digitalizovaný. Nie sú vyhotovené ani konzervačné kópie.</w:t>
            </w:r>
          </w:p>
        </w:tc>
        <w:tc>
          <w:tcPr>
            <w:tcW w:w="2205" w:type="dxa"/>
          </w:tcPr>
          <w:p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cription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0F780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205" w:type="dxa"/>
          </w:tcPr>
          <w:p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5B4726" w:rsidRDefault="00D445B5" w:rsidP="004B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614" w:type="dxa"/>
            <w:vAlign w:val="center"/>
          </w:tcPr>
          <w:p w:rsidR="00F01588" w:rsidRPr="005B4726" w:rsidRDefault="00511069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sú informácie o publikovaní.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Informácie o publ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kovaní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614" w:type="dxa"/>
            <w:vAlign w:val="center"/>
          </w:tcPr>
          <w:p w:rsidR="00F01588" w:rsidRPr="005B4726" w:rsidRDefault="004F3EBB" w:rsidP="00FF5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  <w:tc>
          <w:tcPr>
            <w:tcW w:w="2205" w:type="dxa"/>
          </w:tcPr>
          <w:p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614" w:type="dxa"/>
            <w:vAlign w:val="center"/>
          </w:tcPr>
          <w:p w:rsidR="00F01588" w:rsidRPr="005B4726" w:rsidRDefault="004F3EBB" w:rsidP="00FF5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Mgr. Attila Fazekas</w:t>
            </w:r>
          </w:p>
        </w:tc>
        <w:tc>
          <w:tcPr>
            <w:tcW w:w="2205" w:type="dxa"/>
          </w:tcPr>
          <w:p w:rsidR="00F01588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5B4726" w:rsidTr="0054480D">
        <w:tc>
          <w:tcPr>
            <w:tcW w:w="1049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614" w:type="dxa"/>
            <w:vAlign w:val="center"/>
          </w:tcPr>
          <w:p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cription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205" w:type="dxa"/>
          </w:tcPr>
          <w:p w:rsidR="00F01588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Pravidlá alebo zás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</w:t>
            </w:r>
          </w:p>
        </w:tc>
      </w:tr>
      <w:tr w:rsidR="00E35B45" w:rsidRPr="005B4726" w:rsidTr="0054480D">
        <w:tc>
          <w:tcPr>
            <w:tcW w:w="1049" w:type="dxa"/>
            <w:vAlign w:val="center"/>
          </w:tcPr>
          <w:p w:rsidR="00E35B45" w:rsidRPr="005B4726" w:rsidRDefault="00E35B45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2352" w:type="dxa"/>
            <w:vAlign w:val="center"/>
          </w:tcPr>
          <w:p w:rsidR="00E35B45" w:rsidRPr="005B4726" w:rsidRDefault="00E35B45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proofErr w:type="spellEnd"/>
          </w:p>
        </w:tc>
        <w:tc>
          <w:tcPr>
            <w:tcW w:w="8614" w:type="dxa"/>
            <w:vAlign w:val="center"/>
          </w:tcPr>
          <w:p w:rsidR="00E35B45" w:rsidRPr="005B4726" w:rsidRDefault="007C75D0" w:rsidP="0076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808" w:rsidRPr="005B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0F7808" w:rsidRPr="005B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08" w:rsidRPr="005B47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5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E35B45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5B4726" w:rsidRDefault="00E35B45" w:rsidP="00A36CA5">
      <w:pPr>
        <w:rPr>
          <w:sz w:val="24"/>
          <w:szCs w:val="24"/>
        </w:rPr>
      </w:pPr>
    </w:p>
    <w:sectPr w:rsidR="00E35B45" w:rsidRPr="005B4726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F2" w:rsidRDefault="00D638F2" w:rsidP="004C473D">
      <w:pPr>
        <w:spacing w:after="0" w:line="240" w:lineRule="auto"/>
      </w:pPr>
      <w:r>
        <w:separator/>
      </w:r>
    </w:p>
  </w:endnote>
  <w:endnote w:type="continuationSeparator" w:id="0">
    <w:p w:rsidR="00D638F2" w:rsidRDefault="00D638F2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44" w:rsidRDefault="00087C44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7C44" w:rsidRDefault="00087C44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44" w:rsidRDefault="00087C44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277D">
      <w:rPr>
        <w:rStyle w:val="slostrany"/>
        <w:noProof/>
      </w:rPr>
      <w:t>5</w:t>
    </w:r>
    <w:r>
      <w:rPr>
        <w:rStyle w:val="slostrany"/>
      </w:rPr>
      <w:fldChar w:fldCharType="end"/>
    </w:r>
  </w:p>
  <w:p w:rsidR="00087C44" w:rsidRDefault="00087C44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F2" w:rsidRDefault="00D638F2" w:rsidP="004C473D">
      <w:pPr>
        <w:spacing w:after="0" w:line="240" w:lineRule="auto"/>
      </w:pPr>
      <w:r>
        <w:separator/>
      </w:r>
    </w:p>
  </w:footnote>
  <w:footnote w:type="continuationSeparator" w:id="0">
    <w:p w:rsidR="00D638F2" w:rsidRDefault="00D638F2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D2"/>
    <w:multiLevelType w:val="singleLevel"/>
    <w:tmpl w:val="62887A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B3D0B"/>
    <w:multiLevelType w:val="hybridMultilevel"/>
    <w:tmpl w:val="914EBF62"/>
    <w:lvl w:ilvl="0" w:tplc="CAAA95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2F5"/>
    <w:multiLevelType w:val="singleLevel"/>
    <w:tmpl w:val="230021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82C91"/>
    <w:multiLevelType w:val="hybridMultilevel"/>
    <w:tmpl w:val="19CC2232"/>
    <w:lvl w:ilvl="0" w:tplc="30242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335F"/>
    <w:rsid w:val="00003A70"/>
    <w:rsid w:val="000045F3"/>
    <w:rsid w:val="000100DD"/>
    <w:rsid w:val="000169EF"/>
    <w:rsid w:val="00020DF7"/>
    <w:rsid w:val="00023631"/>
    <w:rsid w:val="000276D5"/>
    <w:rsid w:val="000352F2"/>
    <w:rsid w:val="0004039F"/>
    <w:rsid w:val="00061A0B"/>
    <w:rsid w:val="00071D0E"/>
    <w:rsid w:val="0007237E"/>
    <w:rsid w:val="00077279"/>
    <w:rsid w:val="000812A8"/>
    <w:rsid w:val="00082ED9"/>
    <w:rsid w:val="00083366"/>
    <w:rsid w:val="00087C44"/>
    <w:rsid w:val="000B2663"/>
    <w:rsid w:val="000B7F92"/>
    <w:rsid w:val="000C1915"/>
    <w:rsid w:val="000C1EE5"/>
    <w:rsid w:val="000C602E"/>
    <w:rsid w:val="000D1FDD"/>
    <w:rsid w:val="000D2E92"/>
    <w:rsid w:val="000D4A13"/>
    <w:rsid w:val="000D6071"/>
    <w:rsid w:val="000F5BEF"/>
    <w:rsid w:val="000F7808"/>
    <w:rsid w:val="001009AC"/>
    <w:rsid w:val="0010147A"/>
    <w:rsid w:val="001101BB"/>
    <w:rsid w:val="00111B17"/>
    <w:rsid w:val="00125703"/>
    <w:rsid w:val="00126B1E"/>
    <w:rsid w:val="001374E2"/>
    <w:rsid w:val="001403AB"/>
    <w:rsid w:val="00145333"/>
    <w:rsid w:val="001454F4"/>
    <w:rsid w:val="001459C0"/>
    <w:rsid w:val="001530B2"/>
    <w:rsid w:val="00157732"/>
    <w:rsid w:val="0016277D"/>
    <w:rsid w:val="00180466"/>
    <w:rsid w:val="00182B1D"/>
    <w:rsid w:val="001A1F4E"/>
    <w:rsid w:val="001A2AAF"/>
    <w:rsid w:val="001B437E"/>
    <w:rsid w:val="001B497B"/>
    <w:rsid w:val="001E07E1"/>
    <w:rsid w:val="00203D9E"/>
    <w:rsid w:val="00221DE5"/>
    <w:rsid w:val="00225FD6"/>
    <w:rsid w:val="002318F4"/>
    <w:rsid w:val="00251F4E"/>
    <w:rsid w:val="00253CFD"/>
    <w:rsid w:val="002614D9"/>
    <w:rsid w:val="00262797"/>
    <w:rsid w:val="002868FA"/>
    <w:rsid w:val="002A5FE6"/>
    <w:rsid w:val="002A6E59"/>
    <w:rsid w:val="002A76BD"/>
    <w:rsid w:val="002B0C2D"/>
    <w:rsid w:val="002B6A8C"/>
    <w:rsid w:val="002C00C7"/>
    <w:rsid w:val="002C4CB1"/>
    <w:rsid w:val="002C6BFD"/>
    <w:rsid w:val="002D28C9"/>
    <w:rsid w:val="002F4D53"/>
    <w:rsid w:val="002F6DB3"/>
    <w:rsid w:val="00303741"/>
    <w:rsid w:val="00306C0E"/>
    <w:rsid w:val="0032213B"/>
    <w:rsid w:val="003275C2"/>
    <w:rsid w:val="00331EC5"/>
    <w:rsid w:val="00347BFF"/>
    <w:rsid w:val="003569FF"/>
    <w:rsid w:val="003653F0"/>
    <w:rsid w:val="00374AC4"/>
    <w:rsid w:val="00374F84"/>
    <w:rsid w:val="00376032"/>
    <w:rsid w:val="00385C3B"/>
    <w:rsid w:val="00387984"/>
    <w:rsid w:val="00394F47"/>
    <w:rsid w:val="003A67C5"/>
    <w:rsid w:val="003C5D60"/>
    <w:rsid w:val="003D72F2"/>
    <w:rsid w:val="003D7D7D"/>
    <w:rsid w:val="003E2D8F"/>
    <w:rsid w:val="004418B3"/>
    <w:rsid w:val="004443A5"/>
    <w:rsid w:val="0044554A"/>
    <w:rsid w:val="00454235"/>
    <w:rsid w:val="00462B85"/>
    <w:rsid w:val="00463ADE"/>
    <w:rsid w:val="00466E7A"/>
    <w:rsid w:val="0047337C"/>
    <w:rsid w:val="004868A2"/>
    <w:rsid w:val="00496F5F"/>
    <w:rsid w:val="004B0BAD"/>
    <w:rsid w:val="004B3426"/>
    <w:rsid w:val="004C117E"/>
    <w:rsid w:val="004C473D"/>
    <w:rsid w:val="004D5AED"/>
    <w:rsid w:val="004D5BAA"/>
    <w:rsid w:val="004D7DD4"/>
    <w:rsid w:val="004E07CE"/>
    <w:rsid w:val="004E3D15"/>
    <w:rsid w:val="004F3EBB"/>
    <w:rsid w:val="00502B67"/>
    <w:rsid w:val="00511069"/>
    <w:rsid w:val="00512D7D"/>
    <w:rsid w:val="00516398"/>
    <w:rsid w:val="00516606"/>
    <w:rsid w:val="005228D3"/>
    <w:rsid w:val="005258F9"/>
    <w:rsid w:val="00526346"/>
    <w:rsid w:val="00526B09"/>
    <w:rsid w:val="005421AC"/>
    <w:rsid w:val="0054480D"/>
    <w:rsid w:val="00561521"/>
    <w:rsid w:val="00563624"/>
    <w:rsid w:val="00584416"/>
    <w:rsid w:val="00591610"/>
    <w:rsid w:val="005B4726"/>
    <w:rsid w:val="005B7887"/>
    <w:rsid w:val="005C192D"/>
    <w:rsid w:val="005C6CFF"/>
    <w:rsid w:val="005D1D5E"/>
    <w:rsid w:val="005D252F"/>
    <w:rsid w:val="005E04FC"/>
    <w:rsid w:val="005F5311"/>
    <w:rsid w:val="005F691A"/>
    <w:rsid w:val="00600013"/>
    <w:rsid w:val="00623775"/>
    <w:rsid w:val="0063417C"/>
    <w:rsid w:val="00646A1F"/>
    <w:rsid w:val="00654619"/>
    <w:rsid w:val="0065465A"/>
    <w:rsid w:val="006642D4"/>
    <w:rsid w:val="00690248"/>
    <w:rsid w:val="00690275"/>
    <w:rsid w:val="006953FC"/>
    <w:rsid w:val="00695CE1"/>
    <w:rsid w:val="006A2A6F"/>
    <w:rsid w:val="006B22F8"/>
    <w:rsid w:val="006B5A47"/>
    <w:rsid w:val="006B7665"/>
    <w:rsid w:val="006C685F"/>
    <w:rsid w:val="006D4436"/>
    <w:rsid w:val="006D6270"/>
    <w:rsid w:val="006E57FE"/>
    <w:rsid w:val="006F7042"/>
    <w:rsid w:val="007034AB"/>
    <w:rsid w:val="00703CC2"/>
    <w:rsid w:val="00705837"/>
    <w:rsid w:val="007141AD"/>
    <w:rsid w:val="00715772"/>
    <w:rsid w:val="007248EB"/>
    <w:rsid w:val="00734225"/>
    <w:rsid w:val="00745FA3"/>
    <w:rsid w:val="007578B2"/>
    <w:rsid w:val="0076357E"/>
    <w:rsid w:val="0076473F"/>
    <w:rsid w:val="00774643"/>
    <w:rsid w:val="00774E6C"/>
    <w:rsid w:val="00780831"/>
    <w:rsid w:val="00787B99"/>
    <w:rsid w:val="00787E29"/>
    <w:rsid w:val="00794460"/>
    <w:rsid w:val="00797C16"/>
    <w:rsid w:val="007A3EA2"/>
    <w:rsid w:val="007A5A7B"/>
    <w:rsid w:val="007A6E61"/>
    <w:rsid w:val="007B34EF"/>
    <w:rsid w:val="007C28E5"/>
    <w:rsid w:val="007C65CE"/>
    <w:rsid w:val="007C75D0"/>
    <w:rsid w:val="007F385C"/>
    <w:rsid w:val="00800DC1"/>
    <w:rsid w:val="008144A7"/>
    <w:rsid w:val="00814E42"/>
    <w:rsid w:val="00843869"/>
    <w:rsid w:val="0084388F"/>
    <w:rsid w:val="00861A12"/>
    <w:rsid w:val="0086743A"/>
    <w:rsid w:val="00871BDF"/>
    <w:rsid w:val="00874846"/>
    <w:rsid w:val="008759C1"/>
    <w:rsid w:val="008A2B94"/>
    <w:rsid w:val="008B077F"/>
    <w:rsid w:val="008B4233"/>
    <w:rsid w:val="008B5756"/>
    <w:rsid w:val="008C0496"/>
    <w:rsid w:val="008C39CF"/>
    <w:rsid w:val="008C5744"/>
    <w:rsid w:val="008D3E65"/>
    <w:rsid w:val="008E0159"/>
    <w:rsid w:val="008E3B7F"/>
    <w:rsid w:val="008F2827"/>
    <w:rsid w:val="00901223"/>
    <w:rsid w:val="009041B7"/>
    <w:rsid w:val="00906C94"/>
    <w:rsid w:val="00917A16"/>
    <w:rsid w:val="00917D6A"/>
    <w:rsid w:val="0092351F"/>
    <w:rsid w:val="00952253"/>
    <w:rsid w:val="009522FE"/>
    <w:rsid w:val="00961CC0"/>
    <w:rsid w:val="00964D0D"/>
    <w:rsid w:val="00976765"/>
    <w:rsid w:val="00977CA2"/>
    <w:rsid w:val="00981A50"/>
    <w:rsid w:val="00985CA1"/>
    <w:rsid w:val="00986AE0"/>
    <w:rsid w:val="00995C46"/>
    <w:rsid w:val="00995E8D"/>
    <w:rsid w:val="009A1BF9"/>
    <w:rsid w:val="009A32D4"/>
    <w:rsid w:val="009D07AB"/>
    <w:rsid w:val="009E6ED1"/>
    <w:rsid w:val="009F09AA"/>
    <w:rsid w:val="009F09D7"/>
    <w:rsid w:val="00A11521"/>
    <w:rsid w:val="00A15716"/>
    <w:rsid w:val="00A2146A"/>
    <w:rsid w:val="00A36CA5"/>
    <w:rsid w:val="00A37045"/>
    <w:rsid w:val="00A410C2"/>
    <w:rsid w:val="00A43982"/>
    <w:rsid w:val="00A45D20"/>
    <w:rsid w:val="00A621E8"/>
    <w:rsid w:val="00A63329"/>
    <w:rsid w:val="00A700E8"/>
    <w:rsid w:val="00A75F8A"/>
    <w:rsid w:val="00A80DA2"/>
    <w:rsid w:val="00A86B3A"/>
    <w:rsid w:val="00A93473"/>
    <w:rsid w:val="00A94481"/>
    <w:rsid w:val="00A95AD7"/>
    <w:rsid w:val="00AA323D"/>
    <w:rsid w:val="00AB5C7C"/>
    <w:rsid w:val="00AD18F2"/>
    <w:rsid w:val="00AE0B32"/>
    <w:rsid w:val="00AF1DB0"/>
    <w:rsid w:val="00AF3A00"/>
    <w:rsid w:val="00AF6B22"/>
    <w:rsid w:val="00B3773A"/>
    <w:rsid w:val="00B4395D"/>
    <w:rsid w:val="00B44083"/>
    <w:rsid w:val="00B44F01"/>
    <w:rsid w:val="00B44FA4"/>
    <w:rsid w:val="00B45935"/>
    <w:rsid w:val="00B50769"/>
    <w:rsid w:val="00B56BD5"/>
    <w:rsid w:val="00B61283"/>
    <w:rsid w:val="00B67ECA"/>
    <w:rsid w:val="00B71F9B"/>
    <w:rsid w:val="00B860F6"/>
    <w:rsid w:val="00B932DD"/>
    <w:rsid w:val="00BA2954"/>
    <w:rsid w:val="00BA313B"/>
    <w:rsid w:val="00BA5A24"/>
    <w:rsid w:val="00BA7E4C"/>
    <w:rsid w:val="00BC0C29"/>
    <w:rsid w:val="00BC6EF0"/>
    <w:rsid w:val="00BF47B1"/>
    <w:rsid w:val="00C00538"/>
    <w:rsid w:val="00C0192F"/>
    <w:rsid w:val="00C0207E"/>
    <w:rsid w:val="00C1771D"/>
    <w:rsid w:val="00C22362"/>
    <w:rsid w:val="00C22A3B"/>
    <w:rsid w:val="00C274F6"/>
    <w:rsid w:val="00C34508"/>
    <w:rsid w:val="00C47436"/>
    <w:rsid w:val="00C50F08"/>
    <w:rsid w:val="00C524CD"/>
    <w:rsid w:val="00C52CF3"/>
    <w:rsid w:val="00C61C9E"/>
    <w:rsid w:val="00C65314"/>
    <w:rsid w:val="00C7337A"/>
    <w:rsid w:val="00C73593"/>
    <w:rsid w:val="00C91C2C"/>
    <w:rsid w:val="00CA6D71"/>
    <w:rsid w:val="00CB4AC9"/>
    <w:rsid w:val="00CD74A4"/>
    <w:rsid w:val="00CE4BC3"/>
    <w:rsid w:val="00CF0F4B"/>
    <w:rsid w:val="00CF6BC3"/>
    <w:rsid w:val="00CF7736"/>
    <w:rsid w:val="00D0421D"/>
    <w:rsid w:val="00D048BD"/>
    <w:rsid w:val="00D07DAC"/>
    <w:rsid w:val="00D12A1E"/>
    <w:rsid w:val="00D201DF"/>
    <w:rsid w:val="00D426F5"/>
    <w:rsid w:val="00D43D0E"/>
    <w:rsid w:val="00D445B5"/>
    <w:rsid w:val="00D46C00"/>
    <w:rsid w:val="00D47DB3"/>
    <w:rsid w:val="00D6193D"/>
    <w:rsid w:val="00D61C5C"/>
    <w:rsid w:val="00D638F2"/>
    <w:rsid w:val="00D668A6"/>
    <w:rsid w:val="00D67B9F"/>
    <w:rsid w:val="00D74365"/>
    <w:rsid w:val="00D846B6"/>
    <w:rsid w:val="00D87F03"/>
    <w:rsid w:val="00D9447A"/>
    <w:rsid w:val="00D96D4A"/>
    <w:rsid w:val="00D97E0F"/>
    <w:rsid w:val="00DA07B5"/>
    <w:rsid w:val="00DA6306"/>
    <w:rsid w:val="00DB36EA"/>
    <w:rsid w:val="00DB6EE1"/>
    <w:rsid w:val="00DC3F60"/>
    <w:rsid w:val="00DE6A38"/>
    <w:rsid w:val="00DE7FCB"/>
    <w:rsid w:val="00DF0671"/>
    <w:rsid w:val="00DF305E"/>
    <w:rsid w:val="00DF5E16"/>
    <w:rsid w:val="00DF7A20"/>
    <w:rsid w:val="00E000E7"/>
    <w:rsid w:val="00E001B7"/>
    <w:rsid w:val="00E03EB4"/>
    <w:rsid w:val="00E13088"/>
    <w:rsid w:val="00E25592"/>
    <w:rsid w:val="00E31B93"/>
    <w:rsid w:val="00E33621"/>
    <w:rsid w:val="00E35B45"/>
    <w:rsid w:val="00E41542"/>
    <w:rsid w:val="00E416B0"/>
    <w:rsid w:val="00E43C4D"/>
    <w:rsid w:val="00E46993"/>
    <w:rsid w:val="00E5439F"/>
    <w:rsid w:val="00E620CF"/>
    <w:rsid w:val="00E6769C"/>
    <w:rsid w:val="00E721D3"/>
    <w:rsid w:val="00E847DE"/>
    <w:rsid w:val="00E90447"/>
    <w:rsid w:val="00E9388A"/>
    <w:rsid w:val="00EB0343"/>
    <w:rsid w:val="00EB0B70"/>
    <w:rsid w:val="00EB4DEF"/>
    <w:rsid w:val="00EB6374"/>
    <w:rsid w:val="00EE394F"/>
    <w:rsid w:val="00EF1790"/>
    <w:rsid w:val="00EF2B11"/>
    <w:rsid w:val="00F000E7"/>
    <w:rsid w:val="00F01588"/>
    <w:rsid w:val="00F16547"/>
    <w:rsid w:val="00F16F81"/>
    <w:rsid w:val="00F31FEB"/>
    <w:rsid w:val="00F51FD3"/>
    <w:rsid w:val="00F5351F"/>
    <w:rsid w:val="00F552CC"/>
    <w:rsid w:val="00F726FB"/>
    <w:rsid w:val="00F738D9"/>
    <w:rsid w:val="00F74B54"/>
    <w:rsid w:val="00F77EF7"/>
    <w:rsid w:val="00F94D7B"/>
    <w:rsid w:val="00F95B8B"/>
    <w:rsid w:val="00FA2D8C"/>
    <w:rsid w:val="00FA3DFA"/>
    <w:rsid w:val="00FB3244"/>
    <w:rsid w:val="00FB39F2"/>
    <w:rsid w:val="00FB48EC"/>
    <w:rsid w:val="00FB4F2A"/>
    <w:rsid w:val="00FB5899"/>
    <w:rsid w:val="00FB77BC"/>
    <w:rsid w:val="00FC0ABD"/>
    <w:rsid w:val="00FC3B85"/>
    <w:rsid w:val="00FD1F93"/>
    <w:rsid w:val="00FD493E"/>
    <w:rsid w:val="00FF5072"/>
    <w:rsid w:val="00FF5DCF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CE13-C754-4F4F-9F58-B14DE91F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Attila Fazekas</cp:lastModifiedBy>
  <cp:revision>10</cp:revision>
  <dcterms:created xsi:type="dcterms:W3CDTF">2019-12-05T14:02:00Z</dcterms:created>
  <dcterms:modified xsi:type="dcterms:W3CDTF">2019-12-13T09:38:00Z</dcterms:modified>
</cp:coreProperties>
</file>