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D1C01" w:rsidRPr="000F4D25" w:rsidTr="00E073F5">
        <w:tc>
          <w:tcPr>
            <w:tcW w:w="9709" w:type="dxa"/>
            <w:vAlign w:val="bottom"/>
          </w:tcPr>
          <w:p w:rsidR="00AD1C01" w:rsidRPr="00E319D9" w:rsidRDefault="00AD1C01" w:rsidP="00E073F5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0F4D25">
              <w:rPr>
                <w:sz w:val="24"/>
                <w:szCs w:val="22"/>
              </w:rPr>
              <w:t>Obec</w:t>
            </w:r>
            <w:r>
              <w:rPr>
                <w:sz w:val="24"/>
                <w:szCs w:val="22"/>
              </w:rPr>
              <w:t xml:space="preserve"> / </w:t>
            </w:r>
            <w:r w:rsidRPr="00BE59C4">
              <w:rPr>
                <w:rFonts w:eastAsia="Calibri"/>
                <w:sz w:val="24"/>
                <w:szCs w:val="24"/>
                <w:lang w:val="en-GB" w:eastAsia="en-US"/>
              </w:rPr>
              <w:t>Municipality</w:t>
            </w:r>
          </w:p>
        </w:tc>
      </w:tr>
      <w:tr w:rsidR="00AD1C01" w:rsidRPr="000F4D25" w:rsidTr="00E073F5">
        <w:tc>
          <w:tcPr>
            <w:tcW w:w="9709" w:type="dxa"/>
            <w:tcBorders>
              <w:bottom w:val="dotted" w:sz="8" w:space="0" w:color="auto"/>
            </w:tcBorders>
            <w:vAlign w:val="bottom"/>
          </w:tcPr>
          <w:p w:rsidR="00AD1C01" w:rsidRPr="000F4D25" w:rsidRDefault="00AD1C01" w:rsidP="00E073F5">
            <w:pPr>
              <w:spacing w:before="120"/>
              <w:jc w:val="center"/>
              <w:rPr>
                <w:sz w:val="24"/>
              </w:rPr>
            </w:pPr>
          </w:p>
        </w:tc>
      </w:tr>
    </w:tbl>
    <w:p w:rsidR="00AD1C01" w:rsidRDefault="00AD1C01" w:rsidP="00AD1C01">
      <w:pPr>
        <w:spacing w:before="400"/>
        <w:jc w:val="center"/>
        <w:rPr>
          <w:sz w:val="24"/>
          <w:szCs w:val="24"/>
        </w:rPr>
      </w:pPr>
      <w:r w:rsidRPr="000F4D25">
        <w:rPr>
          <w:b/>
          <w:sz w:val="24"/>
          <w:szCs w:val="24"/>
        </w:rPr>
        <w:t>OZNÁMENIE</w:t>
      </w:r>
      <w:r w:rsidRPr="000F4D25">
        <w:rPr>
          <w:b/>
          <w:sz w:val="24"/>
          <w:szCs w:val="24"/>
        </w:rPr>
        <w:br/>
      </w:r>
      <w:r w:rsidRPr="000F4D25">
        <w:rPr>
          <w:sz w:val="24"/>
          <w:szCs w:val="24"/>
        </w:rPr>
        <w:t>o čase a mieste konania volieb do Európskeho parlamentu</w:t>
      </w:r>
    </w:p>
    <w:p w:rsidR="00AD1C01" w:rsidRPr="000F4D25" w:rsidRDefault="00AD1C01" w:rsidP="00AD1C01">
      <w:pPr>
        <w:spacing w:before="200" w:after="6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NOTICE</w:t>
      </w:r>
      <w:r>
        <w:rPr>
          <w:b/>
          <w:sz w:val="24"/>
          <w:szCs w:val="24"/>
        </w:rPr>
        <w:br/>
      </w:r>
      <w:r w:rsidRPr="00577E7D">
        <w:rPr>
          <w:sz w:val="24"/>
          <w:szCs w:val="24"/>
          <w:lang w:val="en-GB"/>
        </w:rPr>
        <w:t>of the date and place of elections to the European Parliament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4"/>
        <w:gridCol w:w="1837"/>
        <w:gridCol w:w="1881"/>
      </w:tblGrid>
      <w:tr w:rsidR="00AD1C01" w:rsidRPr="000F4D25" w:rsidTr="00E073F5">
        <w:tc>
          <w:tcPr>
            <w:tcW w:w="9747" w:type="dxa"/>
            <w:gridSpan w:val="3"/>
            <w:shd w:val="clear" w:color="auto" w:fill="auto"/>
          </w:tcPr>
          <w:p w:rsidR="00AD1C01" w:rsidRPr="000F4D25" w:rsidRDefault="00AD1C01" w:rsidP="00E073F5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F4D25">
              <w:rPr>
                <w:sz w:val="24"/>
                <w:szCs w:val="24"/>
              </w:rPr>
              <w:sym w:font="Wingdings" w:char="F06C"/>
            </w:r>
            <w:r w:rsidRPr="000F4D25">
              <w:rPr>
                <w:sz w:val="24"/>
                <w:szCs w:val="24"/>
              </w:rPr>
              <w:tab/>
              <w:t>Deň a čas konania volieb</w:t>
            </w:r>
            <w:r>
              <w:rPr>
                <w:sz w:val="24"/>
                <w:szCs w:val="24"/>
              </w:rPr>
              <w:t xml:space="preserve"> / </w:t>
            </w:r>
            <w:r w:rsidRPr="00577E7D">
              <w:rPr>
                <w:sz w:val="24"/>
                <w:szCs w:val="24"/>
                <w:lang w:val="en-GB"/>
              </w:rPr>
              <w:t>Date and time of elections</w:t>
            </w:r>
          </w:p>
        </w:tc>
      </w:tr>
      <w:tr w:rsidR="00AD1C01" w:rsidRPr="000F4D25" w:rsidTr="00E073F5">
        <w:tc>
          <w:tcPr>
            <w:tcW w:w="5778" w:type="dxa"/>
            <w:shd w:val="clear" w:color="auto" w:fill="auto"/>
          </w:tcPr>
          <w:p w:rsidR="00AD1C01" w:rsidRPr="000F4D25" w:rsidRDefault="00AD1C01" w:rsidP="00E073F5">
            <w:pPr>
              <w:spacing w:before="60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8. 6. 2024</w:t>
            </w:r>
          </w:p>
        </w:tc>
        <w:tc>
          <w:tcPr>
            <w:tcW w:w="1985" w:type="dxa"/>
            <w:tcBorders>
              <w:bottom w:val="dotted" w:sz="8" w:space="0" w:color="auto"/>
            </w:tcBorders>
            <w:shd w:val="clear" w:color="auto" w:fill="auto"/>
          </w:tcPr>
          <w:p w:rsidR="00AD1C01" w:rsidRPr="000F4D25" w:rsidRDefault="00AD1C01" w:rsidP="00E073F5">
            <w:pPr>
              <w:spacing w:before="60"/>
              <w:jc w:val="both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D1C01" w:rsidRPr="000F4D25" w:rsidRDefault="00AD1C01" w:rsidP="00E073F5">
            <w:pPr>
              <w:spacing w:before="60"/>
              <w:jc w:val="both"/>
              <w:rPr>
                <w:b/>
                <w:sz w:val="24"/>
              </w:rPr>
            </w:pPr>
            <w:r w:rsidRPr="000F4D25">
              <w:rPr>
                <w:b/>
                <w:sz w:val="24"/>
              </w:rPr>
              <w:t>h - 22.00 h</w:t>
            </w:r>
          </w:p>
        </w:tc>
      </w:tr>
    </w:tbl>
    <w:p w:rsidR="00AD1C01" w:rsidRPr="000F4D25" w:rsidRDefault="00AD1C01" w:rsidP="00AD1C01">
      <w:pPr>
        <w:tabs>
          <w:tab w:val="left" w:pos="284"/>
        </w:tabs>
        <w:spacing w:before="240"/>
        <w:ind w:left="284" w:hanging="284"/>
        <w:jc w:val="both"/>
        <w:rPr>
          <w:sz w:val="24"/>
        </w:rPr>
      </w:pPr>
      <w:r w:rsidRPr="000F4D25">
        <w:rPr>
          <w:sz w:val="24"/>
        </w:rPr>
        <w:sym w:font="Wingdings" w:char="F06C"/>
      </w:r>
      <w:r w:rsidRPr="000F4D25">
        <w:rPr>
          <w:sz w:val="24"/>
        </w:rPr>
        <w:tab/>
        <w:t>Miesto konania volieb</w:t>
      </w:r>
      <w:r>
        <w:rPr>
          <w:sz w:val="24"/>
        </w:rPr>
        <w:t xml:space="preserve"> / </w:t>
      </w:r>
      <w:r w:rsidRPr="00577E7D">
        <w:rPr>
          <w:sz w:val="24"/>
          <w:lang w:val="en-GB"/>
        </w:rPr>
        <w:t>Place of elections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AD1C01" w:rsidRPr="00565B22" w:rsidTr="00E073F5">
        <w:tc>
          <w:tcPr>
            <w:tcW w:w="9355" w:type="dxa"/>
            <w:tcBorders>
              <w:bottom w:val="dotted" w:sz="8" w:space="0" w:color="auto"/>
            </w:tcBorders>
            <w:shd w:val="clear" w:color="auto" w:fill="auto"/>
          </w:tcPr>
          <w:p w:rsidR="00AD1C01" w:rsidRPr="00565B22" w:rsidRDefault="00AD1C01" w:rsidP="00E073F5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</w:p>
        </w:tc>
      </w:tr>
    </w:tbl>
    <w:p w:rsidR="00AD1C01" w:rsidRPr="00565B22" w:rsidRDefault="00AD1C01" w:rsidP="00AD1C01">
      <w:pPr>
        <w:tabs>
          <w:tab w:val="left" w:pos="284"/>
        </w:tabs>
        <w:spacing w:before="120"/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80"/>
        <w:gridCol w:w="1592"/>
      </w:tblGrid>
      <w:tr w:rsidR="00AD1C01" w:rsidRPr="00565B22" w:rsidTr="00E073F5">
        <w:tc>
          <w:tcPr>
            <w:tcW w:w="9747" w:type="dxa"/>
            <w:gridSpan w:val="2"/>
            <w:shd w:val="clear" w:color="auto" w:fill="auto"/>
          </w:tcPr>
          <w:p w:rsidR="00AD1C01" w:rsidRPr="00565B22" w:rsidRDefault="00AD1C01" w:rsidP="00E073F5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sym w:font="Wingdings" w:char="F06C"/>
            </w:r>
            <w:r w:rsidRPr="00565B22">
              <w:rPr>
                <w:sz w:val="24"/>
              </w:rPr>
              <w:tab/>
              <w:t>Okrsok č.</w:t>
            </w:r>
            <w:r>
              <w:rPr>
                <w:sz w:val="24"/>
              </w:rPr>
              <w:t xml:space="preserve"> / </w:t>
            </w:r>
            <w:r w:rsidRPr="00577E7D">
              <w:rPr>
                <w:sz w:val="24"/>
                <w:lang w:val="en-GB"/>
              </w:rPr>
              <w:t>District No.</w:t>
            </w:r>
          </w:p>
        </w:tc>
      </w:tr>
      <w:tr w:rsidR="00AD1C01" w:rsidRPr="00565B22" w:rsidTr="00E073F5">
        <w:trPr>
          <w:trHeight w:val="227"/>
        </w:trPr>
        <w:tc>
          <w:tcPr>
            <w:tcW w:w="8046" w:type="dxa"/>
            <w:shd w:val="clear" w:color="auto" w:fill="auto"/>
            <w:vAlign w:val="bottom"/>
          </w:tcPr>
          <w:p w:rsidR="00AD1C01" w:rsidRPr="00565B22" w:rsidRDefault="00AD1C01" w:rsidP="00E073F5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tted" w:sz="8" w:space="0" w:color="auto"/>
            </w:tcBorders>
            <w:shd w:val="clear" w:color="auto" w:fill="auto"/>
          </w:tcPr>
          <w:p w:rsidR="00AD1C01" w:rsidRPr="00565B22" w:rsidRDefault="00AD1C01" w:rsidP="00E073F5">
            <w:pPr>
              <w:jc w:val="both"/>
              <w:rPr>
                <w:sz w:val="24"/>
              </w:rPr>
            </w:pPr>
          </w:p>
        </w:tc>
      </w:tr>
    </w:tbl>
    <w:p w:rsidR="00AD1C01" w:rsidRPr="00565B22" w:rsidRDefault="00AD1C01" w:rsidP="00AD1C01">
      <w:pPr>
        <w:spacing w:before="200"/>
        <w:rPr>
          <w:sz w:val="24"/>
        </w:rPr>
      </w:pPr>
      <w:r w:rsidRPr="00565B22">
        <w:rPr>
          <w:sz w:val="24"/>
        </w:rPr>
        <w:t>Adresa</w:t>
      </w:r>
      <w:r>
        <w:rPr>
          <w:sz w:val="24"/>
        </w:rPr>
        <w:t xml:space="preserve"> </w:t>
      </w:r>
      <w:r w:rsidRPr="00B54CA0">
        <w:rPr>
          <w:sz w:val="22"/>
        </w:rPr>
        <w:t>(trvalý pobyt)</w:t>
      </w:r>
      <w:r>
        <w:rPr>
          <w:sz w:val="22"/>
        </w:rPr>
        <w:t xml:space="preserve"> / </w:t>
      </w:r>
      <w:r w:rsidRPr="00577E7D">
        <w:rPr>
          <w:sz w:val="24"/>
          <w:lang w:val="en-GB"/>
        </w:rPr>
        <w:t xml:space="preserve">Address </w:t>
      </w:r>
      <w:r w:rsidRPr="00577E7D">
        <w:rPr>
          <w:sz w:val="22"/>
          <w:lang w:val="en-GB"/>
        </w:rPr>
        <w:t>(permanent residence</w:t>
      </w:r>
      <w:r>
        <w:rPr>
          <w:sz w:val="22"/>
        </w:rPr>
        <w:t>)</w:t>
      </w:r>
    </w:p>
    <w:p w:rsidR="00AD1C01" w:rsidRPr="00565B22" w:rsidRDefault="00AD1C01" w:rsidP="00AD1C01">
      <w:pPr>
        <w:spacing w:before="12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D1C01" w:rsidRPr="00565B22" w:rsidTr="00E073F5">
        <w:tc>
          <w:tcPr>
            <w:tcW w:w="970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AD1C01" w:rsidRPr="00565B22" w:rsidRDefault="00AD1C01" w:rsidP="00E073F5">
            <w:pPr>
              <w:spacing w:before="60"/>
              <w:jc w:val="center"/>
              <w:rPr>
                <w:sz w:val="24"/>
              </w:rPr>
            </w:pPr>
          </w:p>
        </w:tc>
      </w:tr>
    </w:tbl>
    <w:p w:rsidR="00AD1C01" w:rsidRPr="00565B22" w:rsidRDefault="00AD1C01" w:rsidP="00AD1C01">
      <w:pPr>
        <w:rPr>
          <w:sz w:val="18"/>
        </w:rPr>
      </w:pPr>
    </w:p>
    <w:p w:rsidR="00AD1C01" w:rsidRPr="00565B22" w:rsidRDefault="00AD1C01" w:rsidP="00AD1C01">
      <w:pPr>
        <w:rPr>
          <w:sz w:val="18"/>
        </w:rPr>
      </w:pPr>
    </w:p>
    <w:tbl>
      <w:tblPr>
        <w:tblW w:w="0" w:type="auto"/>
        <w:tblBorders>
          <w:bottom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</w:tblGrid>
      <w:tr w:rsidR="00AD1C01" w:rsidRPr="00565B22" w:rsidTr="00E073F5">
        <w:tc>
          <w:tcPr>
            <w:tcW w:w="4323" w:type="dxa"/>
            <w:vAlign w:val="bottom"/>
          </w:tcPr>
          <w:p w:rsidR="00AD1C01" w:rsidRPr="00565B22" w:rsidRDefault="00AD1C01" w:rsidP="00E073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D1C01" w:rsidRPr="009F2C08" w:rsidRDefault="00AD1C01" w:rsidP="00E073F5">
            <w:pPr>
              <w:jc w:val="right"/>
              <w:rPr>
                <w:sz w:val="22"/>
                <w:szCs w:val="24"/>
              </w:rPr>
            </w:pPr>
            <w:r w:rsidRPr="009F2C08">
              <w:rPr>
                <w:rStyle w:val="Odkaznapoznmkupodiarou"/>
                <w:sz w:val="22"/>
                <w:szCs w:val="24"/>
              </w:rPr>
              <w:footnoteReference w:customMarkFollows="1" w:id="1"/>
              <w:t>1)</w:t>
            </w:r>
          </w:p>
        </w:tc>
      </w:tr>
    </w:tbl>
    <w:p w:rsidR="00AD1C01" w:rsidRPr="00565B22" w:rsidRDefault="00AD1C01" w:rsidP="00AD1C01">
      <w:pPr>
        <w:jc w:val="both"/>
        <w:rPr>
          <w:sz w:val="24"/>
        </w:rPr>
      </w:pPr>
    </w:p>
    <w:p w:rsidR="00AD1C01" w:rsidRPr="009F2C08" w:rsidRDefault="00AD1C01" w:rsidP="00AD1C01">
      <w:pPr>
        <w:jc w:val="right"/>
        <w:rPr>
          <w:sz w:val="22"/>
        </w:rPr>
      </w:pPr>
      <w:r w:rsidRPr="009F2C08">
        <w:rPr>
          <w:rStyle w:val="Odkaznapoznmkupodiarou"/>
          <w:sz w:val="22"/>
        </w:rPr>
        <w:footnoteReference w:customMarkFollows="1" w:id="2"/>
        <w:t>2)</w:t>
      </w:r>
    </w:p>
    <w:p w:rsidR="00AD1C01" w:rsidRPr="00565B22" w:rsidRDefault="00AD1C01" w:rsidP="00AD1C01">
      <w:pPr>
        <w:pBdr>
          <w:top w:val="single" w:sz="4" w:space="1" w:color="auto"/>
        </w:pBdr>
        <w:ind w:left="4820" w:right="50"/>
        <w:jc w:val="center"/>
        <w:rPr>
          <w:sz w:val="22"/>
        </w:rPr>
      </w:pPr>
      <w:r>
        <w:t>p</w:t>
      </w:r>
      <w:r w:rsidRPr="00565B22">
        <w:t>odpis</w:t>
      </w:r>
      <w:r>
        <w:t xml:space="preserve"> / </w:t>
      </w:r>
      <w:r w:rsidRPr="00577E7D">
        <w:rPr>
          <w:lang w:val="en-GB"/>
        </w:rPr>
        <w:t>signature</w:t>
      </w:r>
    </w:p>
    <w:p w:rsidR="00AD1C01" w:rsidRPr="00565B22" w:rsidRDefault="00AD1C01" w:rsidP="00AD1C01">
      <w:pPr>
        <w:jc w:val="both"/>
        <w:rPr>
          <w:sz w:val="22"/>
          <w:szCs w:val="24"/>
        </w:rPr>
      </w:pPr>
    </w:p>
    <w:p w:rsidR="00AD1C01" w:rsidRPr="00565B22" w:rsidRDefault="00AD1C01" w:rsidP="00AD1C01">
      <w:pPr>
        <w:jc w:val="both"/>
        <w:rPr>
          <w:sz w:val="22"/>
          <w:szCs w:val="24"/>
        </w:rPr>
      </w:pPr>
    </w:p>
    <w:p w:rsidR="00AD1C01" w:rsidRDefault="00AD1C01" w:rsidP="00AD1C01">
      <w:pPr>
        <w:jc w:val="both"/>
        <w:rPr>
          <w:sz w:val="22"/>
          <w:szCs w:val="24"/>
        </w:rPr>
      </w:pPr>
    </w:p>
    <w:p w:rsidR="00AD1C01" w:rsidRPr="00577E7D" w:rsidRDefault="00AD1C01" w:rsidP="00AD1C01">
      <w:pPr>
        <w:jc w:val="both"/>
        <w:rPr>
          <w:szCs w:val="24"/>
        </w:rPr>
      </w:pPr>
      <w:r w:rsidRPr="00577E7D">
        <w:rPr>
          <w:szCs w:val="24"/>
        </w:rPr>
        <w:t>Poučenie:</w:t>
      </w:r>
    </w:p>
    <w:p w:rsidR="00AD1C01" w:rsidRPr="002A7C85" w:rsidRDefault="00AD1C01" w:rsidP="00AD1C01">
      <w:p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4E4A23">
        <w:rPr>
          <w:sz w:val="18"/>
          <w:szCs w:val="24"/>
        </w:rPr>
        <w:t>1.</w:t>
      </w:r>
      <w:r w:rsidRPr="004E4A23">
        <w:rPr>
          <w:sz w:val="18"/>
          <w:szCs w:val="24"/>
        </w:rPr>
        <w:tab/>
        <w:t>Volič preukáže pred hlasovaním svoju totožnosť občianskym preukazom</w:t>
      </w:r>
      <w:r w:rsidRPr="002A7C85">
        <w:rPr>
          <w:sz w:val="24"/>
        </w:rPr>
        <w:t xml:space="preserve"> </w:t>
      </w:r>
      <w:r w:rsidRPr="002A7C85">
        <w:rPr>
          <w:sz w:val="18"/>
          <w:szCs w:val="18"/>
        </w:rPr>
        <w:t>alebo pobytov</w:t>
      </w:r>
      <w:r>
        <w:rPr>
          <w:sz w:val="18"/>
          <w:szCs w:val="18"/>
        </w:rPr>
        <w:t>ým</w:t>
      </w:r>
      <w:r w:rsidRPr="002A7C85">
        <w:rPr>
          <w:sz w:val="18"/>
          <w:szCs w:val="18"/>
        </w:rPr>
        <w:t xml:space="preserve"> preukaz</w:t>
      </w:r>
      <w:r>
        <w:rPr>
          <w:sz w:val="18"/>
          <w:szCs w:val="18"/>
        </w:rPr>
        <w:t>om</w:t>
      </w:r>
      <w:r>
        <w:rPr>
          <w:sz w:val="18"/>
          <w:szCs w:val="18"/>
        </w:rPr>
        <w:t xml:space="preserve"> občana</w:t>
      </w:r>
      <w:r>
        <w:rPr>
          <w:sz w:val="18"/>
          <w:szCs w:val="18"/>
        </w:rPr>
        <w:br/>
      </w:r>
      <w:r w:rsidRPr="002A7C85">
        <w:rPr>
          <w:sz w:val="18"/>
          <w:szCs w:val="18"/>
        </w:rPr>
        <w:t>Európskej únie.</w:t>
      </w:r>
    </w:p>
    <w:p w:rsidR="00AD1C01" w:rsidRPr="004E4A23" w:rsidRDefault="00AD1C01" w:rsidP="00AD1C01">
      <w:pPr>
        <w:tabs>
          <w:tab w:val="left" w:pos="284"/>
        </w:tabs>
        <w:jc w:val="both"/>
        <w:rPr>
          <w:sz w:val="18"/>
          <w:szCs w:val="24"/>
        </w:rPr>
      </w:pPr>
      <w:r w:rsidRPr="004E4A23">
        <w:rPr>
          <w:sz w:val="18"/>
          <w:szCs w:val="24"/>
        </w:rPr>
        <w:t>2.</w:t>
      </w:r>
      <w:r w:rsidRPr="004E4A23">
        <w:rPr>
          <w:sz w:val="18"/>
          <w:szCs w:val="24"/>
        </w:rPr>
        <w:tab/>
        <w:t>Od členov komisie dostane volič hlasovacie lístky a prázdnu obálku, čo potvrdí vlastnoručným podpisom.</w:t>
      </w:r>
    </w:p>
    <w:p w:rsidR="00AD1C01" w:rsidRPr="006E0032" w:rsidRDefault="00AD1C01" w:rsidP="00AD1C01">
      <w:p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4E4A23">
        <w:rPr>
          <w:sz w:val="18"/>
          <w:szCs w:val="24"/>
        </w:rPr>
        <w:t>3.</w:t>
      </w:r>
      <w:r w:rsidRPr="004E4A23">
        <w:rPr>
          <w:sz w:val="18"/>
          <w:szCs w:val="24"/>
        </w:rPr>
        <w:tab/>
        <w:t xml:space="preserve">V osobitnom </w:t>
      </w:r>
      <w:r>
        <w:rPr>
          <w:sz w:val="18"/>
          <w:szCs w:val="24"/>
        </w:rPr>
        <w:t xml:space="preserve">priestore určenom na úpravu hlasovacích lístkov vloží volič jeden z hlasovacích lístkov bez ďalšej úpravy do obálky </w:t>
      </w:r>
      <w:r>
        <w:rPr>
          <w:b/>
          <w:sz w:val="18"/>
        </w:rPr>
        <w:t xml:space="preserve">alebo </w:t>
      </w:r>
      <w:r>
        <w:rPr>
          <w:sz w:val="18"/>
        </w:rPr>
        <w:t xml:space="preserve">na jednom z hlasovacích lístkov vyznačí odovzdanie prednostného hlasu zakrúžkovaním poradového čísla najviac u dvoch kandidátov. Potom hlasovací lístok vloží volič do obálky a následne do volebnej schránky. </w:t>
      </w:r>
      <w:r w:rsidRPr="006E0032">
        <w:rPr>
          <w:sz w:val="18"/>
        </w:rPr>
        <w:t>Nepoužité hlasovacie lístky odloží volič do schránky na odloženie nepoužitých alebo nesprávne upravených hlasovacích lístkov, inak sa dopustí priestupku</w:t>
      </w:r>
      <w:r w:rsidRPr="006E0032">
        <w:rPr>
          <w:sz w:val="18"/>
          <w:szCs w:val="18"/>
        </w:rPr>
        <w:t>, za ktorý mu bude uložená pokuta 33 eur</w:t>
      </w:r>
      <w:r w:rsidRPr="006E0032">
        <w:rPr>
          <w:sz w:val="18"/>
        </w:rPr>
        <w:t>.</w:t>
      </w:r>
    </w:p>
    <w:p w:rsidR="00AD1C01" w:rsidRPr="00577E7D" w:rsidRDefault="00AD1C01" w:rsidP="00AD1C01">
      <w:pPr>
        <w:spacing w:before="200"/>
        <w:jc w:val="both"/>
        <w:rPr>
          <w:szCs w:val="24"/>
          <w:lang w:val="en-GB"/>
        </w:rPr>
      </w:pPr>
      <w:r w:rsidRPr="00577E7D">
        <w:rPr>
          <w:szCs w:val="24"/>
          <w:lang w:val="en-GB"/>
        </w:rPr>
        <w:t>Instruction:</w:t>
      </w:r>
    </w:p>
    <w:p w:rsidR="00AD1C01" w:rsidRPr="00577E7D" w:rsidRDefault="00AD1C01" w:rsidP="00AD1C01">
      <w:pPr>
        <w:tabs>
          <w:tab w:val="left" w:pos="284"/>
        </w:tabs>
        <w:ind w:left="284" w:hanging="284"/>
        <w:jc w:val="both"/>
        <w:rPr>
          <w:sz w:val="18"/>
          <w:szCs w:val="18"/>
          <w:lang w:val="en-GB"/>
        </w:rPr>
      </w:pPr>
      <w:r w:rsidRPr="00577E7D">
        <w:rPr>
          <w:sz w:val="18"/>
          <w:szCs w:val="18"/>
          <w:lang w:val="en-GB"/>
        </w:rPr>
        <w:t>1.</w:t>
      </w:r>
      <w:r w:rsidRPr="00577E7D">
        <w:rPr>
          <w:sz w:val="18"/>
          <w:szCs w:val="18"/>
          <w:lang w:val="en-GB"/>
        </w:rPr>
        <w:tab/>
        <w:t>Before voting, the voter shall prove their identity by submitting the identity card or residence card of European Union citizen.</w:t>
      </w:r>
    </w:p>
    <w:p w:rsidR="00AD1C01" w:rsidRPr="00577E7D" w:rsidRDefault="00AD1C01" w:rsidP="00AD1C01">
      <w:pPr>
        <w:tabs>
          <w:tab w:val="left" w:pos="284"/>
        </w:tabs>
        <w:ind w:left="284" w:hanging="284"/>
        <w:jc w:val="both"/>
        <w:rPr>
          <w:sz w:val="18"/>
          <w:szCs w:val="18"/>
          <w:lang w:val="en-GB"/>
        </w:rPr>
      </w:pPr>
      <w:r w:rsidRPr="00577E7D">
        <w:rPr>
          <w:sz w:val="18"/>
          <w:szCs w:val="18"/>
          <w:lang w:val="en-GB"/>
        </w:rPr>
        <w:t>2.</w:t>
      </w:r>
      <w:r w:rsidRPr="00577E7D">
        <w:rPr>
          <w:sz w:val="18"/>
          <w:szCs w:val="18"/>
          <w:lang w:val="en-GB"/>
        </w:rPr>
        <w:tab/>
        <w:t>The voter shall receive ballot papers and an empty envelope from the members of the commission and confirm the receipt by their handwritten signature.</w:t>
      </w:r>
    </w:p>
    <w:p w:rsidR="00863BF7" w:rsidRDefault="00AD1C01" w:rsidP="00AD1C01">
      <w:pPr>
        <w:tabs>
          <w:tab w:val="left" w:pos="284"/>
        </w:tabs>
        <w:ind w:left="284" w:hanging="284"/>
        <w:jc w:val="both"/>
      </w:pPr>
      <w:r w:rsidRPr="00577E7D">
        <w:rPr>
          <w:sz w:val="18"/>
          <w:szCs w:val="18"/>
          <w:lang w:val="en-GB"/>
        </w:rPr>
        <w:t>3.</w:t>
      </w:r>
      <w:r w:rsidRPr="00577E7D">
        <w:rPr>
          <w:sz w:val="18"/>
          <w:szCs w:val="18"/>
          <w:lang w:val="en-GB"/>
        </w:rPr>
        <w:tab/>
        <w:t xml:space="preserve">In the special polling booth, the voter shall put one of the ballot papers without any modification into the envelope </w:t>
      </w:r>
      <w:r w:rsidRPr="00577E7D">
        <w:rPr>
          <w:b/>
          <w:sz w:val="18"/>
          <w:szCs w:val="18"/>
          <w:lang w:val="en-GB"/>
        </w:rPr>
        <w:t xml:space="preserve">or </w:t>
      </w:r>
      <w:r w:rsidRPr="00577E7D">
        <w:rPr>
          <w:sz w:val="18"/>
          <w:szCs w:val="18"/>
          <w:lang w:val="en-GB"/>
        </w:rPr>
        <w:t xml:space="preserve">they shall designate preferential voting in one of the ballot papers by </w:t>
      </w:r>
      <w:r>
        <w:rPr>
          <w:sz w:val="18"/>
          <w:szCs w:val="18"/>
          <w:lang w:val="en-GB"/>
        </w:rPr>
        <w:t>circli</w:t>
      </w:r>
      <w:r w:rsidRPr="00577E7D">
        <w:rPr>
          <w:sz w:val="18"/>
          <w:szCs w:val="18"/>
          <w:lang w:val="en-GB"/>
        </w:rPr>
        <w:t xml:space="preserve">ng the serial number of maximum two candidates. Then, the voter shall put the ballot paper into the envelope and subsequently in the ballot box. </w:t>
      </w:r>
      <w:r w:rsidRPr="006E0032">
        <w:rPr>
          <w:sz w:val="18"/>
          <w:szCs w:val="18"/>
          <w:lang w:val="en-GB"/>
        </w:rPr>
        <w:t xml:space="preserve">The voter shall put the unused ballot papers to the box for unused or incorrectly modified ballot </w:t>
      </w:r>
      <w:proofErr w:type="gramStart"/>
      <w:r w:rsidRPr="006E0032">
        <w:rPr>
          <w:sz w:val="18"/>
          <w:szCs w:val="18"/>
          <w:lang w:val="en-GB"/>
        </w:rPr>
        <w:t>pape</w:t>
      </w:r>
      <w:bookmarkStart w:id="0" w:name="_GoBack"/>
      <w:bookmarkEnd w:id="0"/>
      <w:r w:rsidRPr="006E0032">
        <w:rPr>
          <w:sz w:val="18"/>
          <w:szCs w:val="18"/>
          <w:lang w:val="en-GB"/>
        </w:rPr>
        <w:t>rs,</w:t>
      </w:r>
      <w:proofErr w:type="gramEnd"/>
      <w:r w:rsidRPr="006E0032">
        <w:rPr>
          <w:sz w:val="18"/>
          <w:szCs w:val="18"/>
          <w:lang w:val="en-GB"/>
        </w:rPr>
        <w:t xml:space="preserve"> otherwise they commit a minor offence, for which a fine of EUR 33 will be imposed.</w:t>
      </w:r>
    </w:p>
    <w:sectPr w:rsidR="00863BF7" w:rsidSect="00AD1C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DC" w:rsidRDefault="00F82FDC" w:rsidP="00AD1C01">
      <w:r>
        <w:separator/>
      </w:r>
    </w:p>
  </w:endnote>
  <w:endnote w:type="continuationSeparator" w:id="0">
    <w:p w:rsidR="00F82FDC" w:rsidRDefault="00F82FDC" w:rsidP="00AD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DC" w:rsidRDefault="00F82FDC" w:rsidP="00AD1C01">
      <w:r>
        <w:separator/>
      </w:r>
    </w:p>
  </w:footnote>
  <w:footnote w:type="continuationSeparator" w:id="0">
    <w:p w:rsidR="00F82FDC" w:rsidRDefault="00F82FDC" w:rsidP="00AD1C01">
      <w:r>
        <w:continuationSeparator/>
      </w:r>
    </w:p>
  </w:footnote>
  <w:footnote w:id="1">
    <w:p w:rsidR="00AD1C01" w:rsidRDefault="00AD1C01" w:rsidP="00AD1C0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565B22">
        <w:rPr>
          <w:sz w:val="18"/>
          <w:szCs w:val="18"/>
        </w:rPr>
        <w:t>Obec, dátum</w:t>
      </w:r>
      <w:r>
        <w:rPr>
          <w:sz w:val="18"/>
          <w:szCs w:val="18"/>
        </w:rPr>
        <w:t xml:space="preserve"> / </w:t>
      </w:r>
      <w:r w:rsidRPr="00577E7D">
        <w:rPr>
          <w:sz w:val="18"/>
          <w:szCs w:val="18"/>
          <w:lang w:val="en-GB"/>
        </w:rPr>
        <w:t>Municipality, date</w:t>
      </w:r>
    </w:p>
  </w:footnote>
  <w:footnote w:id="2">
    <w:p w:rsidR="00AD1C01" w:rsidRPr="00AD1C01" w:rsidRDefault="00AD1C01" w:rsidP="00AD1C01">
      <w:pPr>
        <w:pStyle w:val="Textpoznmkypodiarou"/>
        <w:tabs>
          <w:tab w:val="left" w:pos="142"/>
        </w:tabs>
        <w:ind w:left="142" w:hanging="142"/>
        <w:rPr>
          <w:sz w:val="18"/>
          <w:szCs w:val="18"/>
        </w:rPr>
      </w:pPr>
      <w:r w:rsidRPr="000E0D41">
        <w:rPr>
          <w:rStyle w:val="Odkaznapoznmkupodiarou"/>
        </w:rPr>
        <w:t>2)</w:t>
      </w:r>
      <w:r w:rsidRPr="000E0D41">
        <w:tab/>
      </w:r>
      <w:r w:rsidRPr="000E0D41">
        <w:rPr>
          <w:sz w:val="18"/>
          <w:szCs w:val="18"/>
        </w:rPr>
        <w:t xml:space="preserve">Pečiatka obce / </w:t>
      </w:r>
      <w:proofErr w:type="spellStart"/>
      <w:r w:rsidRPr="000E0D41">
        <w:rPr>
          <w:sz w:val="18"/>
          <w:szCs w:val="18"/>
        </w:rPr>
        <w:t>Stamp</w:t>
      </w:r>
      <w:proofErr w:type="spellEnd"/>
      <w:r w:rsidRPr="000E0D41">
        <w:rPr>
          <w:sz w:val="18"/>
          <w:szCs w:val="18"/>
        </w:rPr>
        <w:t xml:space="preserve"> of </w:t>
      </w:r>
      <w:proofErr w:type="spellStart"/>
      <w:r w:rsidRPr="000E0D41">
        <w:rPr>
          <w:sz w:val="18"/>
          <w:szCs w:val="18"/>
        </w:rPr>
        <w:t>the</w:t>
      </w:r>
      <w:proofErr w:type="spellEnd"/>
      <w:r w:rsidRPr="000E0D41">
        <w:rPr>
          <w:sz w:val="18"/>
          <w:szCs w:val="18"/>
        </w:rPr>
        <w:t xml:space="preserve"> </w:t>
      </w:r>
      <w:proofErr w:type="spellStart"/>
      <w:r w:rsidRPr="000E0D41">
        <w:rPr>
          <w:sz w:val="18"/>
          <w:szCs w:val="18"/>
        </w:rPr>
        <w:t>m</w:t>
      </w:r>
      <w:r>
        <w:rPr>
          <w:sz w:val="18"/>
          <w:szCs w:val="18"/>
        </w:rPr>
        <w:t>unicipality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01"/>
    <w:rsid w:val="00361D89"/>
    <w:rsid w:val="00863BF7"/>
    <w:rsid w:val="00AD1C01"/>
    <w:rsid w:val="00F8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CD86"/>
  <w15:chartTrackingRefBased/>
  <w15:docId w15:val="{167D8BA8-A5B8-41CD-BE75-DD35B93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1C01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AD1C01"/>
    <w:pPr>
      <w:keepNext/>
      <w:ind w:firstLine="284"/>
      <w:jc w:val="both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AD1C0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AD1C01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D1C0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AD1C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1717</Characters>
  <Application>Microsoft Office Word</Application>
  <DocSecurity>0</DocSecurity>
  <Lines>14</Lines>
  <Paragraphs>4</Paragraphs>
  <ScaleCrop>false</ScaleCrop>
  <Company>MVSR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čase a mieste konania volieb (SK/EN)</dc:title>
  <dc:subject>WEB - Voľby do EP 2024</dc:subject>
  <dc:creator>Marian Koreň</dc:creator>
  <cp:keywords/>
  <dc:description/>
  <cp:lastModifiedBy>Marian Koreň</cp:lastModifiedBy>
  <cp:revision>1</cp:revision>
  <dcterms:created xsi:type="dcterms:W3CDTF">2024-02-13T08:00:00Z</dcterms:created>
  <dcterms:modified xsi:type="dcterms:W3CDTF">2024-02-13T08:03:00Z</dcterms:modified>
</cp:coreProperties>
</file>